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6420"/>
      </w:tblGrid>
      <w:tr w:rsidR="00D025DD" w14:paraId="1A910DAF" w14:textId="77777777" w:rsidTr="00D025DD">
        <w:trPr>
          <w:trHeight w:val="1276"/>
        </w:trPr>
        <w:tc>
          <w:tcPr>
            <w:tcW w:w="10080" w:type="dxa"/>
          </w:tcPr>
          <w:bookmarkStart w:id="0" w:name="_GoBack"/>
          <w:bookmarkEnd w:id="0"/>
          <w:p w14:paraId="1A910DAE" w14:textId="77777777" w:rsidR="00D025DD" w:rsidRPr="00D025DD" w:rsidRDefault="00F00FD8" w:rsidP="0090751E">
            <w:pPr>
              <w:pStyle w:val="CoverPageTitle"/>
              <w:spacing w:after="0"/>
              <w:jc w:val="center"/>
              <w:rPr>
                <w:sz w:val="72"/>
                <w:szCs w:val="72"/>
              </w:rPr>
            </w:pPr>
            <w:sdt>
              <w:sdtPr>
                <w:rPr>
                  <w:kern w:val="0"/>
                  <w:sz w:val="72"/>
                  <w:szCs w:val="72"/>
                  <w14:ligatures w14:val="none"/>
                </w:rPr>
                <w:alias w:val="Enter title:"/>
                <w:tag w:val="Enter title:"/>
                <w:id w:val="656652538"/>
                <w:placeholder>
                  <w:docPart w:val="E1D03A71F2D1465C9765FBE3F8A79C0B"/>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DB7209">
                  <w:rPr>
                    <w:kern w:val="0"/>
                    <w:sz w:val="72"/>
                    <w:szCs w:val="72"/>
                    <w:lang w:val="en-GB"/>
                    <w14:ligatures w14:val="none"/>
                  </w:rPr>
                  <w:t>Quarterly Public Health Report</w:t>
                </w:r>
              </w:sdtContent>
            </w:sdt>
          </w:p>
        </w:tc>
      </w:tr>
      <w:tr w:rsidR="00D025DD" w14:paraId="1A910DB1" w14:textId="77777777" w:rsidTr="001E7F45">
        <w:tc>
          <w:tcPr>
            <w:tcW w:w="10080" w:type="dxa"/>
          </w:tcPr>
          <w:p w14:paraId="1A910DB0" w14:textId="77777777" w:rsidR="00D025DD" w:rsidRDefault="00D025DD" w:rsidP="00DB7209">
            <w:pPr>
              <w:pStyle w:val="CoverPageTitle"/>
              <w:spacing w:after="0"/>
              <w:jc w:val="center"/>
            </w:pPr>
            <w:r>
              <w:rPr>
                <w:noProof/>
                <w:lang w:val="en-GB" w:eastAsia="en-GB"/>
              </w:rPr>
              <w:drawing>
                <wp:inline distT="0" distB="0" distL="0" distR="0" wp14:anchorId="1A910F58" wp14:editId="1A910F59">
                  <wp:extent cx="8382000" cy="326707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2">
                            <a:extLst>
                              <a:ext uri="{BEBA8EAE-BF5A-486C-A8C5-ECC9F3942E4B}">
                                <a14:imgProps xmlns:a14="http://schemas.microsoft.com/office/drawing/2010/main">
                                  <a14:imgLayer r:embed="rId13">
                                    <a14:imgEffect>
                                      <a14:artisticPhotocopy/>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8383247" cy="3267561"/>
                          </a:xfrm>
                          <a:prstGeom prst="rect">
                            <a:avLst/>
                          </a:prstGeom>
                        </pic:spPr>
                      </pic:pic>
                    </a:graphicData>
                  </a:graphic>
                </wp:inline>
              </w:drawing>
            </w:r>
          </w:p>
        </w:tc>
      </w:tr>
    </w:tbl>
    <w:p w14:paraId="1A910DB2" w14:textId="77777777" w:rsidR="00D025DD" w:rsidRPr="007C770C" w:rsidRDefault="00D025DD" w:rsidP="00D025DD">
      <w:pPr>
        <w:spacing w:after="0"/>
        <w:rPr>
          <w:sz w:val="4"/>
        </w:rP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600" w:firstRow="0" w:lastRow="0" w:firstColumn="0" w:lastColumn="0" w:noHBand="1" w:noVBand="1"/>
        <w:tblDescription w:val="First table has title and image, second table has date and subtitle and the third has paragraph text"/>
      </w:tblPr>
      <w:tblGrid>
        <w:gridCol w:w="3229"/>
        <w:gridCol w:w="10959"/>
      </w:tblGrid>
      <w:tr w:rsidR="00D025DD" w14:paraId="1A910DB5" w14:textId="77777777" w:rsidTr="00DB7209">
        <w:trPr>
          <w:trHeight w:val="864"/>
        </w:trPr>
        <w:tc>
          <w:tcPr>
            <w:tcW w:w="2294" w:type="dxa"/>
            <w:tcBorders>
              <w:top w:val="nil"/>
              <w:left w:val="nil"/>
              <w:bottom w:val="nil"/>
            </w:tcBorders>
            <w:shd w:val="clear" w:color="auto" w:fill="8064A2" w:themeFill="accent4"/>
            <w:vAlign w:val="center"/>
          </w:tcPr>
          <w:p w14:paraId="1A910DB3" w14:textId="77777777" w:rsidR="00D025DD" w:rsidRPr="00783448" w:rsidRDefault="00D025DD" w:rsidP="001E7F45">
            <w:pPr>
              <w:pStyle w:val="Date"/>
            </w:pPr>
            <w:r>
              <w:t>Mar-Jun 2020</w:t>
            </w:r>
          </w:p>
        </w:tc>
        <w:tc>
          <w:tcPr>
            <w:tcW w:w="7786" w:type="dxa"/>
            <w:tcBorders>
              <w:top w:val="nil"/>
              <w:bottom w:val="nil"/>
              <w:right w:val="nil"/>
            </w:tcBorders>
            <w:shd w:val="clear" w:color="auto" w:fill="F79646" w:themeFill="accent6"/>
            <w:tcMar>
              <w:left w:w="216" w:type="dxa"/>
            </w:tcMar>
            <w:vAlign w:val="center"/>
          </w:tcPr>
          <w:p w14:paraId="1A910DB4" w14:textId="2D2B03CB" w:rsidR="00D025DD" w:rsidRPr="00A5429D" w:rsidRDefault="00F00FD8" w:rsidP="00D025DD">
            <w:pPr>
              <w:pStyle w:val="CoverPageSubtitle"/>
            </w:pPr>
            <w:sdt>
              <w:sdtPr>
                <w:rPr>
                  <w:rFonts w:asciiTheme="majorHAnsi" w:eastAsia="Times New Roman" w:hAnsiTheme="majorHAnsi" w:cstheme="majorBidi"/>
                  <w:i/>
                  <w:iCs/>
                  <w:spacing w:val="15"/>
                  <w:kern w:val="0"/>
                  <w:sz w:val="28"/>
                  <w:szCs w:val="28"/>
                  <w:lang w:val="en-GB" w:eastAsia="en-GB"/>
                  <w14:ligatures w14:val="none"/>
                </w:rPr>
                <w:alias w:val="Enter subtitle:"/>
                <w:tag w:val="Enter subtitle:"/>
                <w:id w:val="541102329"/>
                <w:placeholder>
                  <w:docPart w:val="F75B6FFC08E04F8182BDC5867C36F6D8"/>
                </w:placeholder>
                <w:dataBinding w:prefixMappings="xmlns:ns0='http://schemas.openxmlformats.org/package/2006/metadata/core-properties' xmlns:ns1='http://purl.org/dc/elements/1.1/'" w:xpath="/ns0:coreProperties[1]/ns1:subject[1]" w:storeItemID="{6C3C8BC8-F283-45AE-878A-BAB7291924A1}"/>
                <w:text w:multiLine="1"/>
              </w:sdtPr>
              <w:sdtEndPr/>
              <w:sdtContent>
                <w:r w:rsidR="00AE6977">
                  <w:rPr>
                    <w:rFonts w:asciiTheme="majorHAnsi" w:eastAsia="Times New Roman" w:hAnsiTheme="majorHAnsi" w:cstheme="majorBidi"/>
                    <w:i/>
                    <w:iCs/>
                    <w:spacing w:val="15"/>
                    <w:kern w:val="0"/>
                    <w:sz w:val="28"/>
                    <w:szCs w:val="28"/>
                    <w:lang w:val="en-GB" w:eastAsia="en-GB"/>
                    <w14:ligatures w14:val="none"/>
                  </w:rPr>
                  <w:t>2020-21 Quarter 1</w:t>
                </w:r>
              </w:sdtContent>
            </w:sdt>
          </w:p>
        </w:tc>
      </w:tr>
    </w:tbl>
    <w:p w14:paraId="1A910DB6" w14:textId="77777777" w:rsidR="00940464" w:rsidRDefault="00D025DD" w:rsidP="00D025DD">
      <w:pPr>
        <w:pStyle w:val="Subtitle"/>
        <w:rPr>
          <w:sz w:val="26"/>
          <w:szCs w:val="26"/>
        </w:rPr>
      </w:pPr>
      <w:r>
        <w:rPr>
          <w:sz w:val="26"/>
          <w:szCs w:val="26"/>
        </w:rPr>
        <w:t xml:space="preserve">This quarterly report will focus on the COVID-19 pandemic.  </w:t>
      </w:r>
      <w:r w:rsidR="00BA4E21">
        <w:rPr>
          <w:sz w:val="26"/>
          <w:szCs w:val="26"/>
        </w:rPr>
        <w:t>The first part of the report will look at the epidemiology of the pandemic in Harrow and the second half will highlight some of the work that’s going on to support the vulnerable in our society and reduce health inequalities.</w:t>
      </w:r>
    </w:p>
    <w:p w14:paraId="1A910DB7" w14:textId="77777777" w:rsidR="00BA4E21" w:rsidRDefault="00F00FD8" w:rsidP="00BA4E21">
      <w:pPr>
        <w:pStyle w:val="Title"/>
      </w:pPr>
      <w:sdt>
        <w:sdtPr>
          <w:alias w:val="Title:"/>
          <w:tag w:val="Title:"/>
          <w:id w:val="-1055697181"/>
          <w:placeholder>
            <w:docPart w:val="C749D201986A4536967D907E3FA6E179"/>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BA4E21">
            <w:t xml:space="preserve">Quarterly Public </w:t>
          </w:r>
          <w:r w:rsidR="00DB7209">
            <w:t>H</w:t>
          </w:r>
          <w:r w:rsidR="00BA4E21">
            <w:t xml:space="preserve">ealth </w:t>
          </w:r>
          <w:r w:rsidR="00DB7209">
            <w:t>R</w:t>
          </w:r>
          <w:r w:rsidR="00BA4E21">
            <w:t>eport</w:t>
          </w:r>
        </w:sdtContent>
      </w:sdt>
    </w:p>
    <w:sdt>
      <w:sdtPr>
        <w:alias w:val="Subtitle:"/>
        <w:tag w:val="Subtitle:"/>
        <w:id w:val="219697527"/>
        <w:placeholder>
          <w:docPart w:val="1841D378419440509573BB47C8357173"/>
        </w:placeholder>
        <w:dataBinding w:prefixMappings="xmlns:ns0='http://schemas.openxmlformats.org/package/2006/metadata/core-properties' xmlns:ns1='http://purl.org/dc/elements/1.1/'" w:xpath="/ns0:coreProperties[1]/ns1:subject[1]" w:storeItemID="{6C3C8BC8-F283-45AE-878A-BAB7291924A1}"/>
        <w:text w:multiLine="1"/>
      </w:sdtPr>
      <w:sdtEndPr/>
      <w:sdtContent>
        <w:p w14:paraId="1A910DB8" w14:textId="244F409F" w:rsidR="00BA4E21" w:rsidRDefault="00C26F37" w:rsidP="00DB7209">
          <w:pPr>
            <w:pStyle w:val="Subtitle"/>
            <w:jc w:val="left"/>
          </w:pPr>
          <w:r>
            <w:t>2020-21 Quarter 1</w:t>
          </w:r>
        </w:p>
      </w:sdtContent>
    </w:sdt>
    <w:p w14:paraId="1A910DB9" w14:textId="77777777" w:rsidR="00BA4E21" w:rsidRDefault="00BA4E21" w:rsidP="00BA4E21">
      <w:pPr>
        <w:pStyle w:val="Heading1"/>
      </w:pPr>
      <w:r>
        <w:t>Introduction</w:t>
      </w:r>
    </w:p>
    <w:p w14:paraId="1A910DBA" w14:textId="77777777" w:rsidR="00BA4E21" w:rsidRDefault="00BA4E21" w:rsidP="00BA4E21">
      <w:pPr>
        <w:rPr>
          <w:lang w:eastAsia="en-GB"/>
        </w:rPr>
      </w:pPr>
      <w:r>
        <w:rPr>
          <w:lang w:eastAsia="en-GB"/>
        </w:rPr>
        <w:t xml:space="preserve">The COVID-19 pandemic has brought an unprecedented situation to the world.  </w:t>
      </w:r>
    </w:p>
    <w:p w14:paraId="1A910DBB" w14:textId="77777777" w:rsidR="00BA4E21" w:rsidRDefault="000433CF" w:rsidP="00BA4E21">
      <w:pPr>
        <w:rPr>
          <w:lang w:eastAsia="en-GB"/>
        </w:rPr>
      </w:pPr>
      <w:r>
        <w:rPr>
          <w:lang w:eastAsia="en-GB"/>
        </w:rPr>
        <w:t xml:space="preserve">Section 1 of this </w:t>
      </w:r>
      <w:r w:rsidR="00BA4E21">
        <w:rPr>
          <w:lang w:eastAsia="en-GB"/>
        </w:rPr>
        <w:t xml:space="preserve">report shows the extent of the pandemic in Harrow (as at 14/06/20).  It includes a variety of data that has been published nationally.  Some data is not yet available at the levels that we wish to have which limits what we can put into this report at the current time.  A good example of this is the lack of </w:t>
      </w:r>
      <w:proofErr w:type="gramStart"/>
      <w:r w:rsidR="00BA4E21">
        <w:rPr>
          <w:lang w:eastAsia="en-GB"/>
        </w:rPr>
        <w:t>low level</w:t>
      </w:r>
      <w:proofErr w:type="gramEnd"/>
      <w:r w:rsidR="00BA4E21">
        <w:rPr>
          <w:lang w:eastAsia="en-GB"/>
        </w:rPr>
        <w:t xml:space="preserve"> data to map the “hot spots” within the borough and the impact on Black Asian and Minority Ethnic communities.  We will endeavour to update this report periodically to provide more detail as we get it and include the data on the test and trace programme as that becomes available.</w:t>
      </w:r>
    </w:p>
    <w:p w14:paraId="1A910DBC" w14:textId="77777777" w:rsidR="000433CF" w:rsidRPr="000433CF" w:rsidRDefault="000433CF" w:rsidP="000433CF">
      <w:pPr>
        <w:rPr>
          <w:lang w:eastAsia="en-GB"/>
        </w:rPr>
      </w:pPr>
      <w:r>
        <w:rPr>
          <w:lang w:eastAsia="en-GB"/>
        </w:rPr>
        <w:t>In the second part of the report,</w:t>
      </w:r>
      <w:r w:rsidDel="000433CF">
        <w:rPr>
          <w:lang w:eastAsia="en-GB"/>
        </w:rPr>
        <w:t xml:space="preserve"> </w:t>
      </w:r>
      <w:r w:rsidRPr="000433CF">
        <w:rPr>
          <w:lang w:eastAsia="en-GB"/>
        </w:rPr>
        <w:t xml:space="preserve">I explore the key public health impacts </w:t>
      </w:r>
      <w:r>
        <w:rPr>
          <w:lang w:eastAsia="en-GB"/>
        </w:rPr>
        <w:t xml:space="preserve">of COVID-19 </w:t>
      </w:r>
      <w:r w:rsidRPr="000433CF">
        <w:rPr>
          <w:lang w:eastAsia="en-GB"/>
        </w:rPr>
        <w:t xml:space="preserve">on the Harrow population and the key messages that we need to share. </w:t>
      </w:r>
      <w:r>
        <w:rPr>
          <w:lang w:eastAsia="en-GB"/>
        </w:rPr>
        <w:t xml:space="preserve">  </w:t>
      </w:r>
      <w:r w:rsidRPr="000433CF">
        <w:rPr>
          <w:lang w:eastAsia="en-GB"/>
        </w:rPr>
        <w:t>My team ha</w:t>
      </w:r>
      <w:r>
        <w:rPr>
          <w:lang w:eastAsia="en-GB"/>
        </w:rPr>
        <w:t>s</w:t>
      </w:r>
      <w:r w:rsidRPr="000433CF">
        <w:rPr>
          <w:lang w:eastAsia="en-GB"/>
        </w:rPr>
        <w:t xml:space="preserve"> conducted a review of </w:t>
      </w:r>
      <w:r>
        <w:rPr>
          <w:lang w:eastAsia="en-GB"/>
        </w:rPr>
        <w:t>the research base to consider</w:t>
      </w:r>
      <w:r w:rsidRPr="000433CF">
        <w:rPr>
          <w:lang w:eastAsia="en-GB"/>
        </w:rPr>
        <w:t xml:space="preserve"> the risks to health and </w:t>
      </w:r>
      <w:proofErr w:type="gramStart"/>
      <w:r w:rsidRPr="000433CF">
        <w:rPr>
          <w:lang w:eastAsia="en-GB"/>
        </w:rPr>
        <w:t>wellbeing, and</w:t>
      </w:r>
      <w:proofErr w:type="gramEnd"/>
      <w:r w:rsidRPr="000433CF">
        <w:rPr>
          <w:lang w:eastAsia="en-GB"/>
        </w:rPr>
        <w:t xml:space="preserve"> discuss the immediate impact of the C</w:t>
      </w:r>
      <w:r>
        <w:rPr>
          <w:lang w:eastAsia="en-GB"/>
        </w:rPr>
        <w:t>OVID</w:t>
      </w:r>
      <w:r w:rsidRPr="000433CF">
        <w:rPr>
          <w:lang w:eastAsia="en-GB"/>
        </w:rPr>
        <w:t>-19 outbreak on the services we commission.</w:t>
      </w:r>
    </w:p>
    <w:p w14:paraId="1A910DBD" w14:textId="77777777" w:rsidR="009B509A" w:rsidRPr="00883100" w:rsidRDefault="009B509A" w:rsidP="00BA4E21">
      <w:pPr>
        <w:rPr>
          <w:lang w:eastAsia="en-GB"/>
        </w:rPr>
      </w:pPr>
    </w:p>
    <w:p w14:paraId="1A910DBE" w14:textId="77777777" w:rsidR="00773AA4" w:rsidRDefault="00773AA4">
      <w:pPr>
        <w:rPr>
          <w:rFonts w:asciiTheme="majorHAnsi" w:eastAsia="Times New Roman" w:hAnsiTheme="majorHAnsi" w:cstheme="majorBidi"/>
          <w:b/>
          <w:bCs/>
          <w:color w:val="365F91" w:themeColor="accent1" w:themeShade="BF"/>
          <w:sz w:val="28"/>
          <w:szCs w:val="28"/>
          <w:lang w:eastAsia="en-GB"/>
        </w:rPr>
      </w:pPr>
      <w:r>
        <w:br w:type="page"/>
      </w:r>
    </w:p>
    <w:p w14:paraId="1A910DBF" w14:textId="77777777" w:rsidR="002751B2" w:rsidRPr="002751B2" w:rsidRDefault="001A35EF" w:rsidP="0020039E">
      <w:pPr>
        <w:pStyle w:val="Heading1"/>
      </w:pPr>
      <w:r>
        <w:lastRenderedPageBreak/>
        <w:t>K</w:t>
      </w:r>
      <w:r w:rsidR="00404DD3">
        <w:t>EY MESSAGES</w:t>
      </w:r>
      <w:r w:rsidR="005F7532">
        <w:t xml:space="preserve"> </w:t>
      </w:r>
      <w:r w:rsidR="002751B2" w:rsidRPr="002751B2">
        <w:t xml:space="preserve"> </w:t>
      </w:r>
    </w:p>
    <w:p w14:paraId="1A910DC0" w14:textId="77777777" w:rsidR="004758EC" w:rsidRDefault="00174979" w:rsidP="00C7194D">
      <w:pPr>
        <w:pStyle w:val="ListParagraph"/>
        <w:numPr>
          <w:ilvl w:val="0"/>
          <w:numId w:val="8"/>
        </w:numPr>
        <w:rPr>
          <w:rFonts w:asciiTheme="minorHAnsi" w:hAnsiTheme="minorHAnsi"/>
          <w:szCs w:val="24"/>
          <w:lang w:eastAsia="en-GB"/>
        </w:rPr>
      </w:pPr>
      <w:r>
        <w:rPr>
          <w:rFonts w:asciiTheme="minorHAnsi" w:hAnsiTheme="minorHAnsi"/>
          <w:szCs w:val="24"/>
          <w:lang w:eastAsia="en-GB"/>
        </w:rPr>
        <w:t>Harrow has seen one</w:t>
      </w:r>
      <w:r w:rsidR="004758EC" w:rsidRPr="00C579B8">
        <w:rPr>
          <w:rFonts w:asciiTheme="minorHAnsi" w:hAnsiTheme="minorHAnsi"/>
          <w:szCs w:val="24"/>
          <w:lang w:eastAsia="en-GB"/>
        </w:rPr>
        <w:t xml:space="preserve"> of the highest rates of </w:t>
      </w:r>
      <w:r w:rsidR="00856893" w:rsidRPr="00C579B8">
        <w:rPr>
          <w:rFonts w:asciiTheme="minorHAnsi" w:hAnsiTheme="minorHAnsi"/>
          <w:szCs w:val="24"/>
          <w:lang w:eastAsia="en-GB"/>
        </w:rPr>
        <w:t xml:space="preserve">COVID-19 </w:t>
      </w:r>
      <w:proofErr w:type="gramStart"/>
      <w:r w:rsidR="00856893" w:rsidRPr="00C579B8">
        <w:rPr>
          <w:rFonts w:asciiTheme="minorHAnsi" w:hAnsiTheme="minorHAnsi"/>
          <w:szCs w:val="24"/>
          <w:lang w:eastAsia="en-GB"/>
        </w:rPr>
        <w:t xml:space="preserve">cases </w:t>
      </w:r>
      <w:r w:rsidR="004758EC" w:rsidRPr="00C579B8">
        <w:rPr>
          <w:rFonts w:asciiTheme="minorHAnsi" w:hAnsiTheme="minorHAnsi"/>
          <w:szCs w:val="24"/>
          <w:lang w:eastAsia="en-GB"/>
        </w:rPr>
        <w:t xml:space="preserve"> </w:t>
      </w:r>
      <w:r w:rsidR="00856893" w:rsidRPr="00C579B8">
        <w:rPr>
          <w:rFonts w:asciiTheme="minorHAnsi" w:hAnsiTheme="minorHAnsi"/>
          <w:szCs w:val="24"/>
          <w:lang w:eastAsia="en-GB"/>
        </w:rPr>
        <w:t>at</w:t>
      </w:r>
      <w:proofErr w:type="gramEnd"/>
      <w:r w:rsidR="00856893" w:rsidRPr="00C579B8">
        <w:rPr>
          <w:rFonts w:asciiTheme="minorHAnsi" w:hAnsiTheme="minorHAnsi"/>
          <w:szCs w:val="24"/>
          <w:lang w:eastAsia="en-GB"/>
        </w:rPr>
        <w:t xml:space="preserve"> 414.6 per 100,000 in London (London is 304.7 per 100,000)</w:t>
      </w:r>
    </w:p>
    <w:p w14:paraId="1A910DC1" w14:textId="77777777" w:rsidR="00817E72" w:rsidRPr="00817E72" w:rsidRDefault="00817E72" w:rsidP="00817E72">
      <w:pPr>
        <w:pStyle w:val="ListParagraph"/>
        <w:numPr>
          <w:ilvl w:val="0"/>
          <w:numId w:val="8"/>
        </w:numPr>
        <w:rPr>
          <w:rFonts w:asciiTheme="minorHAnsi" w:hAnsiTheme="minorHAnsi"/>
          <w:szCs w:val="24"/>
          <w:lang w:eastAsia="en-GB"/>
        </w:rPr>
      </w:pPr>
      <w:r>
        <w:rPr>
          <w:rFonts w:asciiTheme="minorHAnsi" w:hAnsiTheme="minorHAnsi"/>
          <w:szCs w:val="24"/>
          <w:lang w:eastAsia="en-GB"/>
        </w:rPr>
        <w:t>Due to only testing those admitted to hospital through much of the pandemic, the true number of cases in Harrow is unknown.</w:t>
      </w:r>
    </w:p>
    <w:p w14:paraId="1A910DC2" w14:textId="77777777" w:rsidR="005622B5" w:rsidRPr="00C579B8" w:rsidRDefault="005622B5" w:rsidP="005622B5">
      <w:pPr>
        <w:pStyle w:val="ListParagraph"/>
        <w:numPr>
          <w:ilvl w:val="0"/>
          <w:numId w:val="8"/>
        </w:numPr>
        <w:rPr>
          <w:rFonts w:asciiTheme="minorHAnsi" w:hAnsiTheme="minorHAnsi"/>
          <w:szCs w:val="24"/>
          <w:lang w:eastAsia="en-GB"/>
        </w:rPr>
      </w:pPr>
      <w:r w:rsidRPr="00C579B8">
        <w:rPr>
          <w:rFonts w:asciiTheme="minorHAnsi" w:hAnsiTheme="minorHAnsi"/>
          <w:szCs w:val="24"/>
          <w:lang w:eastAsia="en-GB"/>
        </w:rPr>
        <w:t xml:space="preserve">A total of </w:t>
      </w:r>
      <w:r>
        <w:rPr>
          <w:rFonts w:asciiTheme="minorHAnsi" w:hAnsiTheme="minorHAnsi"/>
          <w:szCs w:val="24"/>
          <w:lang w:eastAsia="en-GB"/>
        </w:rPr>
        <w:t>1045</w:t>
      </w:r>
      <w:r w:rsidRPr="00C579B8">
        <w:rPr>
          <w:rFonts w:asciiTheme="minorHAnsi" w:hAnsiTheme="minorHAnsi"/>
          <w:szCs w:val="24"/>
          <w:lang w:eastAsia="en-GB"/>
        </w:rPr>
        <w:t xml:space="preserve"> lab-confirmed cases of COVID-19 had been reported in Harrow between the period </w:t>
      </w:r>
      <w:r>
        <w:rPr>
          <w:rFonts w:asciiTheme="minorHAnsi" w:hAnsiTheme="minorHAnsi"/>
          <w:szCs w:val="24"/>
          <w:lang w:eastAsia="en-GB"/>
        </w:rPr>
        <w:t>1</w:t>
      </w:r>
      <w:r w:rsidR="00450AD7" w:rsidRPr="004C4D76">
        <w:rPr>
          <w:rFonts w:asciiTheme="minorHAnsi" w:hAnsiTheme="minorHAnsi"/>
          <w:szCs w:val="24"/>
          <w:vertAlign w:val="superscript"/>
          <w:lang w:eastAsia="en-GB"/>
        </w:rPr>
        <w:t>st</w:t>
      </w:r>
      <w:r w:rsidR="00450AD7">
        <w:rPr>
          <w:rFonts w:asciiTheme="minorHAnsi" w:hAnsiTheme="minorHAnsi"/>
          <w:szCs w:val="24"/>
          <w:lang w:eastAsia="en-GB"/>
        </w:rPr>
        <w:t xml:space="preserve"> March 2020</w:t>
      </w:r>
      <w:r>
        <w:rPr>
          <w:rFonts w:asciiTheme="minorHAnsi" w:hAnsiTheme="minorHAnsi"/>
          <w:szCs w:val="24"/>
          <w:lang w:eastAsia="en-GB"/>
        </w:rPr>
        <w:t xml:space="preserve"> to 14</w:t>
      </w:r>
      <w:r>
        <w:rPr>
          <w:rFonts w:asciiTheme="minorHAnsi" w:hAnsiTheme="minorHAnsi"/>
          <w:szCs w:val="24"/>
          <w:vertAlign w:val="superscript"/>
          <w:lang w:eastAsia="en-GB"/>
        </w:rPr>
        <w:t>th</w:t>
      </w:r>
      <w:r>
        <w:rPr>
          <w:rFonts w:asciiTheme="minorHAnsi" w:hAnsiTheme="minorHAnsi"/>
          <w:szCs w:val="24"/>
          <w:lang w:eastAsia="en-GB"/>
        </w:rPr>
        <w:t xml:space="preserve"> June</w:t>
      </w:r>
      <w:r w:rsidRPr="00C579B8">
        <w:rPr>
          <w:rFonts w:asciiTheme="minorHAnsi" w:hAnsiTheme="minorHAnsi"/>
          <w:szCs w:val="24"/>
          <w:lang w:eastAsia="en-GB"/>
        </w:rPr>
        <w:t xml:space="preserve"> 2020</w:t>
      </w:r>
    </w:p>
    <w:p w14:paraId="1A910DC3" w14:textId="77777777" w:rsidR="00C7194D" w:rsidRPr="00C579B8" w:rsidRDefault="00C7194D" w:rsidP="00C7194D">
      <w:pPr>
        <w:pStyle w:val="ListParagraph"/>
        <w:numPr>
          <w:ilvl w:val="0"/>
          <w:numId w:val="8"/>
        </w:numPr>
        <w:rPr>
          <w:rFonts w:asciiTheme="minorHAnsi" w:hAnsiTheme="minorHAnsi"/>
          <w:szCs w:val="24"/>
          <w:lang w:eastAsia="en-GB"/>
        </w:rPr>
      </w:pPr>
      <w:r w:rsidRPr="00C579B8">
        <w:rPr>
          <w:rFonts w:asciiTheme="minorHAnsi" w:hAnsiTheme="minorHAnsi"/>
          <w:szCs w:val="24"/>
          <w:lang w:eastAsia="en-GB"/>
        </w:rPr>
        <w:t>Daily lab-confirmed COVID-19 cases in Harrow account</w:t>
      </w:r>
      <w:r w:rsidR="00856893" w:rsidRPr="00C579B8">
        <w:rPr>
          <w:rFonts w:asciiTheme="minorHAnsi" w:hAnsiTheme="minorHAnsi"/>
          <w:szCs w:val="24"/>
          <w:lang w:eastAsia="en-GB"/>
        </w:rPr>
        <w:t xml:space="preserve"> for an average of </w:t>
      </w:r>
      <w:r w:rsidRPr="00C579B8">
        <w:rPr>
          <w:rFonts w:asciiTheme="minorHAnsi" w:hAnsiTheme="minorHAnsi"/>
          <w:szCs w:val="24"/>
          <w:lang w:eastAsia="en-GB"/>
        </w:rPr>
        <w:t xml:space="preserve">3.8% of </w:t>
      </w:r>
      <w:r w:rsidR="000A3EEE" w:rsidRPr="00C579B8">
        <w:rPr>
          <w:rFonts w:asciiTheme="minorHAnsi" w:hAnsiTheme="minorHAnsi"/>
          <w:szCs w:val="24"/>
          <w:lang w:eastAsia="en-GB"/>
        </w:rPr>
        <w:t xml:space="preserve">total </w:t>
      </w:r>
      <w:r w:rsidRPr="00C579B8">
        <w:rPr>
          <w:rFonts w:asciiTheme="minorHAnsi" w:hAnsiTheme="minorHAnsi"/>
          <w:szCs w:val="24"/>
          <w:lang w:eastAsia="en-GB"/>
        </w:rPr>
        <w:t>daily London cases</w:t>
      </w:r>
      <w:r w:rsidR="00940464">
        <w:rPr>
          <w:rFonts w:asciiTheme="minorHAnsi" w:hAnsiTheme="minorHAnsi"/>
          <w:szCs w:val="24"/>
          <w:lang w:eastAsia="en-GB"/>
        </w:rPr>
        <w:t>, whilst overall Harrow accounts for 2.8% of the total London population.</w:t>
      </w:r>
      <w:r w:rsidR="00940464" w:rsidRPr="00C579B8">
        <w:rPr>
          <w:rFonts w:asciiTheme="minorHAnsi" w:hAnsiTheme="minorHAnsi"/>
          <w:szCs w:val="24"/>
          <w:lang w:eastAsia="en-GB"/>
        </w:rPr>
        <w:t xml:space="preserve"> </w:t>
      </w:r>
    </w:p>
    <w:p w14:paraId="1A910DC4" w14:textId="77777777" w:rsidR="00C7194D" w:rsidRPr="00C579B8" w:rsidRDefault="00C579B8" w:rsidP="00C7194D">
      <w:pPr>
        <w:pStyle w:val="ListParagraph"/>
        <w:numPr>
          <w:ilvl w:val="0"/>
          <w:numId w:val="8"/>
        </w:numPr>
        <w:rPr>
          <w:rFonts w:asciiTheme="minorHAnsi" w:hAnsiTheme="minorHAnsi"/>
          <w:szCs w:val="24"/>
          <w:lang w:eastAsia="en-GB"/>
        </w:rPr>
      </w:pPr>
      <w:r w:rsidRPr="00C579B8">
        <w:rPr>
          <w:rFonts w:asciiTheme="minorHAnsi" w:hAnsiTheme="minorHAnsi"/>
          <w:szCs w:val="24"/>
          <w:lang w:eastAsia="en-GB"/>
        </w:rPr>
        <w:t xml:space="preserve">Rates of cases by age in Harrow, </w:t>
      </w:r>
      <w:r w:rsidR="00817E72">
        <w:rPr>
          <w:rFonts w:asciiTheme="minorHAnsi" w:hAnsiTheme="minorHAnsi"/>
          <w:szCs w:val="24"/>
          <w:lang w:eastAsia="en-GB"/>
        </w:rPr>
        <w:t>show that the 80+ age group had</w:t>
      </w:r>
      <w:r w:rsidRPr="00C579B8">
        <w:rPr>
          <w:rFonts w:asciiTheme="minorHAnsi" w:hAnsiTheme="minorHAnsi"/>
          <w:szCs w:val="24"/>
          <w:lang w:eastAsia="en-GB"/>
        </w:rPr>
        <w:t xml:space="preserve"> the highest rate per 100,000 population, at 1394, 42 times higher than those under 20 years (33 per 100,000) </w:t>
      </w:r>
    </w:p>
    <w:p w14:paraId="1A910DC5" w14:textId="77777777" w:rsidR="00C7194D" w:rsidRPr="00C579B8" w:rsidRDefault="00C579B8" w:rsidP="00C7194D">
      <w:pPr>
        <w:pStyle w:val="ListParagraph"/>
        <w:numPr>
          <w:ilvl w:val="0"/>
          <w:numId w:val="8"/>
        </w:numPr>
        <w:rPr>
          <w:rFonts w:asciiTheme="minorHAnsi" w:hAnsiTheme="minorHAnsi"/>
          <w:szCs w:val="24"/>
          <w:lang w:eastAsia="en-GB"/>
        </w:rPr>
      </w:pPr>
      <w:r w:rsidRPr="00C579B8">
        <w:rPr>
          <w:rFonts w:asciiTheme="minorHAnsi" w:hAnsiTheme="minorHAnsi"/>
          <w:szCs w:val="24"/>
          <w:lang w:eastAsia="en-GB"/>
        </w:rPr>
        <w:t xml:space="preserve">Harrow recorded </w:t>
      </w:r>
      <w:proofErr w:type="gramStart"/>
      <w:r w:rsidRPr="00C579B8">
        <w:rPr>
          <w:rFonts w:asciiTheme="minorHAnsi" w:hAnsiTheme="minorHAnsi"/>
          <w:szCs w:val="24"/>
          <w:lang w:eastAsia="en-GB"/>
        </w:rPr>
        <w:t>the  6</w:t>
      </w:r>
      <w:proofErr w:type="gramEnd"/>
      <w:r w:rsidRPr="00C579B8">
        <w:rPr>
          <w:rFonts w:asciiTheme="minorHAnsi" w:hAnsiTheme="minorHAnsi"/>
          <w:szCs w:val="24"/>
          <w:vertAlign w:val="superscript"/>
          <w:lang w:eastAsia="en-GB"/>
        </w:rPr>
        <w:t>th</w:t>
      </w:r>
      <w:r w:rsidRPr="00C579B8">
        <w:rPr>
          <w:rFonts w:asciiTheme="minorHAnsi" w:hAnsiTheme="minorHAnsi"/>
          <w:szCs w:val="24"/>
          <w:lang w:eastAsia="en-GB"/>
        </w:rPr>
        <w:t xml:space="preserve"> highest death rate related to COVID-19, at 114.7 per 100,000 population in London (Newham reported the highest, at 144.3 per 100,000, the average for London was 85.7 per 100,000 population)</w:t>
      </w:r>
    </w:p>
    <w:p w14:paraId="1A910DC6" w14:textId="77777777" w:rsidR="003C6900" w:rsidRPr="003C6900" w:rsidRDefault="00722DAD" w:rsidP="00C7194D">
      <w:pPr>
        <w:pStyle w:val="ListParagraph"/>
        <w:numPr>
          <w:ilvl w:val="0"/>
          <w:numId w:val="8"/>
        </w:numPr>
        <w:rPr>
          <w:rFonts w:asciiTheme="minorHAnsi" w:hAnsiTheme="minorHAnsi"/>
          <w:szCs w:val="24"/>
          <w:lang w:eastAsia="en-GB"/>
        </w:rPr>
      </w:pPr>
      <w:r>
        <w:rPr>
          <w:rFonts w:asciiTheme="minorHAnsi" w:eastAsiaTheme="minorEastAsia" w:hAnsi="Calibri" w:cstheme="minorBidi"/>
          <w:color w:val="000000" w:themeColor="text1"/>
          <w:kern w:val="24"/>
          <w:szCs w:val="24"/>
        </w:rPr>
        <w:t xml:space="preserve">Increased numbers of deaths that were not recorded as COVID related were seen during the April and June.  </w:t>
      </w:r>
      <w:r w:rsidR="003C6900" w:rsidRPr="003C6900">
        <w:rPr>
          <w:rFonts w:asciiTheme="minorHAnsi" w:eastAsiaTheme="minorEastAsia" w:hAnsi="Calibri" w:cstheme="minorBidi"/>
          <w:color w:val="000000" w:themeColor="text1"/>
          <w:kern w:val="24"/>
          <w:szCs w:val="24"/>
        </w:rPr>
        <w:t>The number of excess deaths is a better measure than COVID-19 deaths of the pandemic’s overall impact on mortality</w:t>
      </w:r>
      <w:r w:rsidR="00715F2E">
        <w:rPr>
          <w:rFonts w:asciiTheme="minorHAnsi" w:eastAsiaTheme="minorEastAsia" w:hAnsi="Calibri" w:cstheme="minorBidi"/>
          <w:color w:val="000000" w:themeColor="text1"/>
          <w:kern w:val="24"/>
          <w:szCs w:val="24"/>
        </w:rPr>
        <w:t xml:space="preserve">, current analysis show </w:t>
      </w:r>
      <w:r w:rsidR="00715F2E" w:rsidRPr="00940464">
        <w:rPr>
          <w:rFonts w:asciiTheme="minorHAnsi" w:eastAsiaTheme="minorEastAsia" w:hAnsi="Calibri" w:cstheme="minorBidi"/>
          <w:color w:val="000000" w:themeColor="text1"/>
          <w:kern w:val="24"/>
          <w:szCs w:val="24"/>
        </w:rPr>
        <w:t>that around 87% of</w:t>
      </w:r>
      <w:r w:rsidR="00715F2E">
        <w:rPr>
          <w:rFonts w:asciiTheme="minorHAnsi" w:eastAsiaTheme="minorEastAsia" w:hAnsi="Calibri" w:cstheme="minorBidi"/>
          <w:color w:val="000000" w:themeColor="text1"/>
          <w:kern w:val="24"/>
          <w:szCs w:val="24"/>
        </w:rPr>
        <w:t xml:space="preserve"> excess deaths occurring in this period were COVID-19 related.</w:t>
      </w:r>
    </w:p>
    <w:p w14:paraId="1A910DC7" w14:textId="77777777" w:rsidR="001A35EF" w:rsidRPr="00722DAD" w:rsidRDefault="00C579B8" w:rsidP="00C7194D">
      <w:pPr>
        <w:pStyle w:val="ListParagraph"/>
        <w:numPr>
          <w:ilvl w:val="0"/>
          <w:numId w:val="8"/>
        </w:numPr>
        <w:rPr>
          <w:rFonts w:asciiTheme="minorHAnsi" w:hAnsiTheme="minorHAnsi"/>
          <w:szCs w:val="24"/>
          <w:lang w:eastAsia="en-GB"/>
        </w:rPr>
      </w:pPr>
      <w:r w:rsidRPr="00722DAD">
        <w:rPr>
          <w:rFonts w:asciiTheme="minorHAnsi" w:hAnsiTheme="minorHAnsi"/>
          <w:szCs w:val="24"/>
          <w:lang w:eastAsia="en-GB"/>
        </w:rPr>
        <w:t>The imp</w:t>
      </w:r>
      <w:r w:rsidR="00817E72" w:rsidRPr="00722DAD">
        <w:rPr>
          <w:rFonts w:asciiTheme="minorHAnsi" w:hAnsiTheme="minorHAnsi"/>
          <w:szCs w:val="24"/>
          <w:lang w:eastAsia="en-GB"/>
        </w:rPr>
        <w:t>act from COVID-19 has highlighted</w:t>
      </w:r>
      <w:r w:rsidRPr="00722DAD">
        <w:rPr>
          <w:rFonts w:asciiTheme="minorHAnsi" w:hAnsiTheme="minorHAnsi"/>
          <w:szCs w:val="24"/>
          <w:lang w:eastAsia="en-GB"/>
        </w:rPr>
        <w:t xml:space="preserve"> existing health inequalities: Being male, living in more deprived areas, and being from a Black, Asian and Minority Ethnic (BAME) background were</w:t>
      </w:r>
      <w:r w:rsidR="005622B5" w:rsidRPr="00722DAD">
        <w:rPr>
          <w:rFonts w:asciiTheme="minorHAnsi" w:hAnsiTheme="minorHAnsi"/>
          <w:szCs w:val="24"/>
          <w:lang w:eastAsia="en-GB"/>
        </w:rPr>
        <w:t xml:space="preserve"> </w:t>
      </w:r>
      <w:r w:rsidRPr="00722DAD">
        <w:rPr>
          <w:rFonts w:asciiTheme="minorHAnsi" w:hAnsiTheme="minorHAnsi"/>
          <w:szCs w:val="24"/>
          <w:lang w:eastAsia="en-GB"/>
        </w:rPr>
        <w:t xml:space="preserve">also found to be associated with worse outcomes </w:t>
      </w:r>
      <w:r w:rsidR="00722DAD" w:rsidRPr="00722DAD">
        <w:rPr>
          <w:rFonts w:asciiTheme="minorHAnsi" w:hAnsiTheme="minorHAnsi"/>
          <w:szCs w:val="24"/>
          <w:lang w:eastAsia="en-GB"/>
        </w:rPr>
        <w:t>in a national report.  We do not currently have data to look at these differen</w:t>
      </w:r>
      <w:r w:rsidR="00722DAD">
        <w:rPr>
          <w:rFonts w:asciiTheme="minorHAnsi" w:hAnsiTheme="minorHAnsi"/>
          <w:szCs w:val="24"/>
          <w:lang w:eastAsia="en-GB"/>
        </w:rPr>
        <w:t xml:space="preserve">ces in Harrow.  However, </w:t>
      </w:r>
      <w:r w:rsidR="00380361" w:rsidRPr="00722DAD">
        <w:rPr>
          <w:rFonts w:asciiTheme="minorHAnsi" w:hAnsiTheme="minorHAnsi"/>
          <w:szCs w:val="24"/>
          <w:lang w:eastAsia="en-GB"/>
        </w:rPr>
        <w:t>BAME groups account for around 64% of the population</w:t>
      </w:r>
      <w:r w:rsidR="00722DAD">
        <w:rPr>
          <w:rFonts w:asciiTheme="minorHAnsi" w:hAnsiTheme="minorHAnsi"/>
          <w:szCs w:val="24"/>
          <w:lang w:eastAsia="en-GB"/>
        </w:rPr>
        <w:t xml:space="preserve"> of Harrow</w:t>
      </w:r>
      <w:r w:rsidR="00380361" w:rsidRPr="00722DAD">
        <w:rPr>
          <w:rFonts w:asciiTheme="minorHAnsi" w:hAnsiTheme="minorHAnsi"/>
          <w:szCs w:val="24"/>
          <w:lang w:eastAsia="en-GB"/>
        </w:rPr>
        <w:t xml:space="preserve">, nationally it has been seen that in this group </w:t>
      </w:r>
      <w:r w:rsidR="001B097E" w:rsidRPr="00722DAD">
        <w:rPr>
          <w:rFonts w:asciiTheme="minorHAnsi" w:hAnsiTheme="minorHAnsi"/>
          <w:szCs w:val="24"/>
          <w:lang w:eastAsia="en-GB"/>
        </w:rPr>
        <w:t xml:space="preserve">up to 34% were affected critically by COVID-19 </w:t>
      </w:r>
    </w:p>
    <w:p w14:paraId="1A910DC8" w14:textId="77777777" w:rsidR="001A35EF" w:rsidRDefault="001A35EF">
      <w:pPr>
        <w:rPr>
          <w:rFonts w:eastAsia="Calibri" w:cs="Times New Roman"/>
          <w:szCs w:val="24"/>
          <w:lang w:eastAsia="en-GB"/>
        </w:rPr>
      </w:pPr>
      <w:r>
        <w:rPr>
          <w:szCs w:val="24"/>
          <w:lang w:eastAsia="en-GB"/>
        </w:rPr>
        <w:br w:type="page"/>
      </w:r>
    </w:p>
    <w:p w14:paraId="1A910DC9" w14:textId="77777777" w:rsidR="007D6AC6" w:rsidRPr="0020039E" w:rsidRDefault="001A35EF" w:rsidP="0020039E">
      <w:pPr>
        <w:pStyle w:val="Heading1"/>
      </w:pPr>
      <w:r w:rsidRPr="0020039E">
        <w:lastRenderedPageBreak/>
        <w:t>Data Sources</w:t>
      </w:r>
    </w:p>
    <w:p w14:paraId="1A910DCA" w14:textId="77777777" w:rsidR="00313E20" w:rsidRPr="002B20EE" w:rsidRDefault="001B097E" w:rsidP="00883100">
      <w:r w:rsidRPr="002B20EE">
        <w:t>Data has been collected by the Office of National Statistics and Public Health England, looking at lab-confirmed daily cases and deaths by occurrence and registration, in order to establish the impacts of COVID-19, nationally, regionally and now some data at local levels.</w:t>
      </w:r>
    </w:p>
    <w:p w14:paraId="1A910DCB" w14:textId="77777777" w:rsidR="00313E20" w:rsidRPr="00FC426D" w:rsidRDefault="00AD74C4" w:rsidP="0020039E">
      <w:pPr>
        <w:pStyle w:val="Heading1"/>
      </w:pPr>
      <w:r>
        <w:rPr>
          <w:rFonts w:eastAsia="Calibri"/>
        </w:rPr>
        <w:t>The Curve of the Pandemic</w:t>
      </w:r>
    </w:p>
    <w:p w14:paraId="1A910DCC" w14:textId="77777777" w:rsidR="001A35EF" w:rsidRDefault="001A35EF" w:rsidP="00883100">
      <w:r w:rsidRPr="00883100">
        <w:t xml:space="preserve">Harrow’s first lab confirmed COVID-19 case was on the 3rd March 2020, and the data for cases has been analysed from 1st March 2020 to 14th June 2020. </w:t>
      </w:r>
      <w:r w:rsidR="00404DD3" w:rsidRPr="00883100">
        <w:t>Between the period of 1st</w:t>
      </w:r>
      <w:r w:rsidR="00817E72" w:rsidRPr="00883100">
        <w:t xml:space="preserve"> March to 14th June, a total of 1045</w:t>
      </w:r>
      <w:r w:rsidR="007D6AC6" w:rsidRPr="00883100">
        <w:t xml:space="preserve"> lab-confirmed cases were recorded for the London Borough of Harrow.  </w:t>
      </w:r>
      <w:r w:rsidR="008E0073">
        <w:fldChar w:fldCharType="begin"/>
      </w:r>
      <w:r w:rsidR="008E0073">
        <w:instrText xml:space="preserve"> REF _Ref43401592 \h </w:instrText>
      </w:r>
      <w:r w:rsidR="008E0073">
        <w:fldChar w:fldCharType="separate"/>
      </w:r>
      <w:r w:rsidR="008E0073">
        <w:t xml:space="preserve">Figure </w:t>
      </w:r>
      <w:r w:rsidR="008E0073">
        <w:rPr>
          <w:noProof/>
        </w:rPr>
        <w:t>1</w:t>
      </w:r>
      <w:r w:rsidR="008E0073">
        <w:fldChar w:fldCharType="end"/>
      </w:r>
      <w:r w:rsidR="008E0073">
        <w:t xml:space="preserve">and </w:t>
      </w:r>
      <w:r w:rsidR="008E0073">
        <w:fldChar w:fldCharType="begin"/>
      </w:r>
      <w:r w:rsidR="008E0073">
        <w:instrText xml:space="preserve"> REF _Ref43401595 \h </w:instrText>
      </w:r>
      <w:r w:rsidR="008E0073">
        <w:fldChar w:fldCharType="separate"/>
      </w:r>
      <w:r w:rsidR="008E0073">
        <w:t xml:space="preserve">Figure </w:t>
      </w:r>
      <w:r w:rsidR="008E0073">
        <w:rPr>
          <w:noProof/>
        </w:rPr>
        <w:t>2</w:t>
      </w:r>
      <w:r w:rsidR="008E0073">
        <w:fldChar w:fldCharType="end"/>
      </w:r>
      <w:r w:rsidR="008E0073">
        <w:t xml:space="preserve"> </w:t>
      </w:r>
      <w:r w:rsidR="00A26DD0" w:rsidRPr="00883100">
        <w:t xml:space="preserve">show the cumulative </w:t>
      </w:r>
      <w:r w:rsidR="00385962">
        <w:t xml:space="preserve">confirmed </w:t>
      </w:r>
      <w:r w:rsidR="00A26DD0" w:rsidRPr="00883100">
        <w:t xml:space="preserve">cases </w:t>
      </w:r>
      <w:r w:rsidR="008E0073">
        <w:t>between 1 March and 14 June and t</w:t>
      </w:r>
      <w:r w:rsidRPr="00883100">
        <w:t>he daily number of lab-confirmed cases for this same period</w:t>
      </w:r>
      <w:r w:rsidR="008E0073">
        <w:t>, respectively</w:t>
      </w:r>
      <w:r w:rsidR="00385962">
        <w:t>.</w:t>
      </w:r>
    </w:p>
    <w:p w14:paraId="1A910DCD" w14:textId="77777777" w:rsidR="00AD74C4" w:rsidRDefault="00AD74C4" w:rsidP="00AD74C4">
      <w:pPr>
        <w:rPr>
          <w:szCs w:val="24"/>
        </w:rPr>
      </w:pPr>
      <w:r>
        <w:rPr>
          <w:rFonts w:eastAsiaTheme="minorEastAsia" w:hAnsi="Calibri"/>
          <w:color w:val="000000" w:themeColor="text1"/>
          <w:kern w:val="24"/>
          <w:szCs w:val="24"/>
          <w:lang w:eastAsia="en-GB"/>
        </w:rPr>
        <w:t xml:space="preserve">We have seen nationally that the numbers of tests recorded at weekends are lower and the cases reported on Mondays causing unexpected peaks early in the week.  One of the ways we can smooth out these daily variations is to do a </w:t>
      </w:r>
      <w:proofErr w:type="gramStart"/>
      <w:r>
        <w:rPr>
          <w:rFonts w:eastAsiaTheme="minorEastAsia" w:hAnsi="Calibri"/>
          <w:color w:val="000000" w:themeColor="text1"/>
          <w:kern w:val="24"/>
          <w:szCs w:val="24"/>
          <w:lang w:eastAsia="en-GB"/>
        </w:rPr>
        <w:t>seven day</w:t>
      </w:r>
      <w:proofErr w:type="gramEnd"/>
      <w:r>
        <w:rPr>
          <w:rFonts w:eastAsiaTheme="minorEastAsia" w:hAnsi="Calibri"/>
          <w:color w:val="000000" w:themeColor="text1"/>
          <w:kern w:val="24"/>
          <w:szCs w:val="24"/>
          <w:lang w:eastAsia="en-GB"/>
        </w:rPr>
        <w:t xml:space="preserve"> moving </w:t>
      </w:r>
      <w:r w:rsidRPr="00856893">
        <w:rPr>
          <w:rFonts w:eastAsiaTheme="minorEastAsia" w:hAnsi="Calibri"/>
          <w:color w:val="000000" w:themeColor="text1"/>
          <w:kern w:val="24"/>
          <w:szCs w:val="24"/>
          <w:lang w:eastAsia="en-GB"/>
        </w:rPr>
        <w:t xml:space="preserve">average number of cases. </w:t>
      </w:r>
      <w:r>
        <w:rPr>
          <w:rFonts w:eastAsiaTheme="minorEastAsia" w:hAnsi="Calibri"/>
          <w:color w:val="000000" w:themeColor="text1"/>
          <w:kern w:val="24"/>
          <w:szCs w:val="24"/>
          <w:lang w:eastAsia="en-GB"/>
        </w:rPr>
        <w:t xml:space="preserve"> </w:t>
      </w:r>
      <w:r w:rsidR="000E1805">
        <w:rPr>
          <w:szCs w:val="24"/>
        </w:rPr>
        <w:fldChar w:fldCharType="begin"/>
      </w:r>
      <w:r w:rsidR="000E1805">
        <w:rPr>
          <w:rFonts w:eastAsiaTheme="minorEastAsia" w:hAnsi="Calibri"/>
          <w:color w:val="000000" w:themeColor="text1"/>
          <w:kern w:val="24"/>
          <w:szCs w:val="24"/>
          <w:lang w:eastAsia="en-GB"/>
        </w:rPr>
        <w:instrText xml:space="preserve"> REF _Ref43402673 \h </w:instrText>
      </w:r>
      <w:r w:rsidR="000E1805">
        <w:rPr>
          <w:szCs w:val="24"/>
        </w:rPr>
      </w:r>
      <w:r w:rsidR="000E1805">
        <w:rPr>
          <w:szCs w:val="24"/>
        </w:rPr>
        <w:fldChar w:fldCharType="separate"/>
      </w:r>
      <w:r w:rsidR="000E1805" w:rsidRPr="000E1805">
        <w:t xml:space="preserve">Figure </w:t>
      </w:r>
      <w:r w:rsidR="000E1805" w:rsidRPr="000E1805">
        <w:rPr>
          <w:noProof/>
        </w:rPr>
        <w:t>3</w:t>
      </w:r>
      <w:r w:rsidR="000E1805">
        <w:rPr>
          <w:szCs w:val="24"/>
        </w:rPr>
        <w:fldChar w:fldCharType="end"/>
      </w:r>
      <w:r w:rsidR="000E1805">
        <w:rPr>
          <w:szCs w:val="24"/>
        </w:rPr>
        <w:t xml:space="preserve"> and </w:t>
      </w:r>
      <w:r w:rsidR="000E1805">
        <w:rPr>
          <w:szCs w:val="24"/>
        </w:rPr>
        <w:fldChar w:fldCharType="begin"/>
      </w:r>
      <w:r w:rsidR="000E1805">
        <w:rPr>
          <w:szCs w:val="24"/>
        </w:rPr>
        <w:instrText xml:space="preserve"> REF _Ref43402686 \h </w:instrText>
      </w:r>
      <w:r w:rsidR="000E1805">
        <w:rPr>
          <w:szCs w:val="24"/>
        </w:rPr>
      </w:r>
      <w:r w:rsidR="000E1805">
        <w:rPr>
          <w:szCs w:val="24"/>
        </w:rPr>
        <w:fldChar w:fldCharType="separate"/>
      </w:r>
      <w:r w:rsidR="000E1805">
        <w:t xml:space="preserve">Figure </w:t>
      </w:r>
      <w:r w:rsidR="000E1805">
        <w:rPr>
          <w:noProof/>
        </w:rPr>
        <w:t>4</w:t>
      </w:r>
      <w:r w:rsidR="000E1805">
        <w:rPr>
          <w:szCs w:val="24"/>
        </w:rPr>
        <w:fldChar w:fldCharType="end"/>
      </w:r>
      <w:r w:rsidR="000E1805">
        <w:rPr>
          <w:szCs w:val="24"/>
        </w:rPr>
        <w:t xml:space="preserve"> show the seven</w:t>
      </w:r>
      <w:r>
        <w:rPr>
          <w:szCs w:val="24"/>
        </w:rPr>
        <w:t xml:space="preserve">-day </w:t>
      </w:r>
      <w:r w:rsidR="000E1805">
        <w:rPr>
          <w:szCs w:val="24"/>
        </w:rPr>
        <w:t xml:space="preserve">moving </w:t>
      </w:r>
      <w:r>
        <w:rPr>
          <w:szCs w:val="24"/>
        </w:rPr>
        <w:t xml:space="preserve">average </w:t>
      </w:r>
      <w:r w:rsidR="000E1805">
        <w:rPr>
          <w:szCs w:val="24"/>
        </w:rPr>
        <w:t xml:space="preserve">number of </w:t>
      </w:r>
      <w:r>
        <w:rPr>
          <w:szCs w:val="24"/>
        </w:rPr>
        <w:t xml:space="preserve">cases in </w:t>
      </w:r>
      <w:r w:rsidR="000E1805">
        <w:rPr>
          <w:szCs w:val="24"/>
        </w:rPr>
        <w:t xml:space="preserve">Harrow and </w:t>
      </w:r>
      <w:r>
        <w:rPr>
          <w:szCs w:val="24"/>
        </w:rPr>
        <w:t>London during the same time</w:t>
      </w:r>
      <w:r w:rsidR="00385962">
        <w:rPr>
          <w:szCs w:val="24"/>
        </w:rPr>
        <w:t xml:space="preserve"> period.  London had it</w:t>
      </w:r>
      <w:r>
        <w:rPr>
          <w:szCs w:val="24"/>
        </w:rPr>
        <w:t xml:space="preserve">s first confirmed </w:t>
      </w:r>
      <w:r w:rsidR="00385962">
        <w:rPr>
          <w:szCs w:val="24"/>
        </w:rPr>
        <w:t xml:space="preserve">case </w:t>
      </w:r>
      <w:r>
        <w:rPr>
          <w:szCs w:val="24"/>
        </w:rPr>
        <w:t xml:space="preserve">on the 11th </w:t>
      </w:r>
      <w:proofErr w:type="gramStart"/>
      <w:r>
        <w:rPr>
          <w:szCs w:val="24"/>
        </w:rPr>
        <w:t>February,</w:t>
      </w:r>
      <w:proofErr w:type="gramEnd"/>
      <w:r>
        <w:rPr>
          <w:szCs w:val="24"/>
        </w:rPr>
        <w:t xml:space="preserve"> 2020.</w:t>
      </w:r>
    </w:p>
    <w:p w14:paraId="1A910DCE" w14:textId="77777777" w:rsidR="001A35EF" w:rsidRDefault="00385962" w:rsidP="00883100">
      <w:pPr>
        <w:rPr>
          <w:rFonts w:ascii="Trebuchet MS" w:eastAsia="Calibri" w:hAnsi="Trebuchet MS" w:cs="Arial"/>
          <w:b/>
          <w:color w:val="4F81BD" w:themeColor="accent1"/>
        </w:rPr>
      </w:pPr>
      <w:r>
        <w:rPr>
          <w:szCs w:val="24"/>
        </w:rPr>
        <w:t xml:space="preserve">These graphs don’t tell the whole story.  Initially all symptomatic people were tested but in late March, testing was restricted to only those who were admitted to hospital.  </w:t>
      </w:r>
      <w:proofErr w:type="gramStart"/>
      <w:r w:rsidR="0020039E">
        <w:rPr>
          <w:szCs w:val="24"/>
        </w:rPr>
        <w:t>Thus</w:t>
      </w:r>
      <w:proofErr w:type="gramEnd"/>
      <w:r w:rsidR="0020039E">
        <w:rPr>
          <w:szCs w:val="24"/>
        </w:rPr>
        <w:t xml:space="preserve"> many more cases were occurring in the community that have not been captured in the data.  Early planning estimates for the pandemic suggested 10% of cases would require admission to hospital so the true numbers in late March and April could be 10 times higher than these numbers. </w:t>
      </w:r>
    </w:p>
    <w:p w14:paraId="1A910DCF" w14:textId="77777777" w:rsidR="00AD74C4" w:rsidRDefault="00AD74C4" w:rsidP="00883100">
      <w:pPr>
        <w:rPr>
          <w:rFonts w:ascii="Trebuchet MS" w:eastAsia="Calibri" w:hAnsi="Trebuchet MS" w:cs="Arial"/>
          <w:b/>
          <w:color w:val="4F81BD" w:themeColor="accent1"/>
        </w:rPr>
        <w:sectPr w:rsidR="00AD74C4" w:rsidSect="001A35EF">
          <w:pgSz w:w="16838" w:h="11906" w:orient="landscape"/>
          <w:pgMar w:top="1440" w:right="1440" w:bottom="1440" w:left="1440" w:header="708" w:footer="708" w:gutter="0"/>
          <w:cols w:space="708"/>
          <w:docGrid w:linePitch="360"/>
        </w:sectPr>
      </w:pPr>
    </w:p>
    <w:p w14:paraId="1A910DD0" w14:textId="77777777" w:rsidR="008E0073" w:rsidRDefault="008E0073" w:rsidP="000F271D">
      <w:pPr>
        <w:pStyle w:val="Caption"/>
      </w:pPr>
      <w:bookmarkStart w:id="1" w:name="_Ref43401592"/>
      <w:r>
        <w:lastRenderedPageBreak/>
        <w:t xml:space="preserve">Figure </w:t>
      </w:r>
      <w:fldSimple w:instr=" SEQ Figure \* ARABIC ">
        <w:r w:rsidR="00721ABB">
          <w:rPr>
            <w:noProof/>
          </w:rPr>
          <w:t>1</w:t>
        </w:r>
      </w:fldSimple>
      <w:bookmarkEnd w:id="1"/>
      <w:r w:rsidRPr="008E0073">
        <w:t xml:space="preserve"> Cumulative daily lab-confirmed COVID-19 cases in Harrow</w:t>
      </w:r>
    </w:p>
    <w:p w14:paraId="1A910DD1" w14:textId="77777777" w:rsidR="008E0073" w:rsidRDefault="008E0073" w:rsidP="000F271D">
      <w:pPr>
        <w:keepNext/>
        <w:spacing w:after="0"/>
      </w:pPr>
      <w:r>
        <w:rPr>
          <w:rFonts w:ascii="Trebuchet MS" w:eastAsia="Calibri" w:hAnsi="Trebuchet MS" w:cs="Arial"/>
          <w:b/>
          <w:noProof/>
          <w:color w:val="4F81BD" w:themeColor="accent1"/>
          <w:lang w:eastAsia="en-GB"/>
        </w:rPr>
        <w:drawing>
          <wp:inline distT="0" distB="0" distL="0" distR="0" wp14:anchorId="1A910F5A" wp14:editId="1A910F5B">
            <wp:extent cx="3724274" cy="2275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1401" cy="2279785"/>
                    </a:xfrm>
                    <a:prstGeom prst="rect">
                      <a:avLst/>
                    </a:prstGeom>
                    <a:noFill/>
                  </pic:spPr>
                </pic:pic>
              </a:graphicData>
            </a:graphic>
          </wp:inline>
        </w:drawing>
      </w:r>
    </w:p>
    <w:p w14:paraId="1A910DD2" w14:textId="77777777" w:rsidR="00AD74C4" w:rsidRDefault="008E0073" w:rsidP="000F271D">
      <w:pPr>
        <w:pStyle w:val="Caption"/>
      </w:pPr>
      <w:bookmarkStart w:id="2" w:name="_Ref43409175"/>
      <w:r w:rsidRPr="000E1805">
        <w:t xml:space="preserve">Source  </w:t>
      </w:r>
      <w:r w:rsidR="00F00FD8">
        <w:fldChar w:fldCharType="begin"/>
      </w:r>
      <w:r w:rsidR="00F00FD8">
        <w:instrText xml:space="preserve"> SEQ Source_ \* ARABIC </w:instrText>
      </w:r>
      <w:r w:rsidR="00F00FD8">
        <w:fldChar w:fldCharType="separate"/>
      </w:r>
      <w:r w:rsidR="009248B4">
        <w:rPr>
          <w:noProof/>
        </w:rPr>
        <w:t>1</w:t>
      </w:r>
      <w:r w:rsidR="00F00FD8">
        <w:rPr>
          <w:noProof/>
        </w:rPr>
        <w:fldChar w:fldCharType="end"/>
      </w:r>
      <w:r w:rsidRPr="000E1805">
        <w:t xml:space="preserve"> Public Health England, accessed June 15th</w:t>
      </w:r>
      <w:proofErr w:type="gramStart"/>
      <w:r w:rsidRPr="000E1805">
        <w:t xml:space="preserve"> 2020</w:t>
      </w:r>
      <w:bookmarkEnd w:id="2"/>
      <w:proofErr w:type="gramEnd"/>
    </w:p>
    <w:p w14:paraId="1A910DD3" w14:textId="77777777" w:rsidR="000F271D" w:rsidRPr="000F271D" w:rsidRDefault="000F271D" w:rsidP="000F271D"/>
    <w:p w14:paraId="1A910DD4" w14:textId="77777777" w:rsidR="00B1242C" w:rsidRDefault="00B1242C" w:rsidP="000F271D">
      <w:pPr>
        <w:pStyle w:val="Caption"/>
      </w:pPr>
      <w:bookmarkStart w:id="3" w:name="_Ref43401595"/>
      <w:r>
        <w:t xml:space="preserve">Figure </w:t>
      </w:r>
      <w:fldSimple w:instr=" SEQ Figure \* ARABIC ">
        <w:r w:rsidR="00721ABB">
          <w:rPr>
            <w:noProof/>
          </w:rPr>
          <w:t>2</w:t>
        </w:r>
      </w:fldSimple>
      <w:bookmarkEnd w:id="3"/>
      <w:r w:rsidRPr="008E0073">
        <w:t xml:space="preserve"> Daily lab-confirmed COVID-19 cases in Harrow</w:t>
      </w:r>
    </w:p>
    <w:p w14:paraId="1A910DD5" w14:textId="77777777" w:rsidR="00B1242C" w:rsidRDefault="00B1242C" w:rsidP="000F271D">
      <w:pPr>
        <w:keepNext/>
        <w:spacing w:after="0"/>
      </w:pPr>
      <w:r>
        <w:rPr>
          <w:noProof/>
          <w:lang w:eastAsia="en-GB"/>
        </w:rPr>
        <w:drawing>
          <wp:inline distT="0" distB="0" distL="0" distR="0" wp14:anchorId="1A910F5C" wp14:editId="1A910F5D">
            <wp:extent cx="3762375" cy="2241251"/>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2921" cy="2241576"/>
                    </a:xfrm>
                    <a:prstGeom prst="rect">
                      <a:avLst/>
                    </a:prstGeom>
                    <a:noFill/>
                  </pic:spPr>
                </pic:pic>
              </a:graphicData>
            </a:graphic>
          </wp:inline>
        </w:drawing>
      </w:r>
    </w:p>
    <w:p w14:paraId="1A910DD6" w14:textId="77777777" w:rsidR="00B1242C" w:rsidRPr="000433CF" w:rsidRDefault="00406F30" w:rsidP="000F271D">
      <w:pPr>
        <w:spacing w:after="0"/>
        <w:rPr>
          <w:b/>
          <w:bCs/>
          <w:color w:val="4F81BD" w:themeColor="accent1"/>
          <w:sz w:val="18"/>
          <w:szCs w:val="18"/>
        </w:rPr>
      </w:pPr>
      <w:r w:rsidRPr="000433CF">
        <w:rPr>
          <w:b/>
          <w:bCs/>
          <w:color w:val="4F81BD" w:themeColor="accent1"/>
          <w:sz w:val="18"/>
          <w:szCs w:val="18"/>
        </w:rPr>
        <w:fldChar w:fldCharType="begin"/>
      </w:r>
      <w:r w:rsidRPr="000433CF">
        <w:rPr>
          <w:rFonts w:eastAsiaTheme="minorEastAsia" w:hAnsi="Calibri"/>
          <w:color w:val="000000" w:themeColor="text1"/>
          <w:kern w:val="24"/>
          <w:szCs w:val="24"/>
          <w:lang w:eastAsia="en-GB"/>
        </w:rPr>
        <w:instrText xml:space="preserve"> REF _Ref43409175 \h </w:instrText>
      </w:r>
      <w:r w:rsidR="00840504" w:rsidRPr="000433CF">
        <w:rPr>
          <w:b/>
          <w:bCs/>
          <w:color w:val="4F81BD" w:themeColor="accent1"/>
          <w:sz w:val="18"/>
          <w:szCs w:val="18"/>
        </w:rPr>
        <w:instrText xml:space="preserve"> \* MERGEFORMAT </w:instrText>
      </w:r>
      <w:r w:rsidRPr="000433CF">
        <w:rPr>
          <w:b/>
          <w:bCs/>
          <w:color w:val="4F81BD" w:themeColor="accent1"/>
          <w:sz w:val="18"/>
          <w:szCs w:val="18"/>
        </w:rPr>
      </w:r>
      <w:r w:rsidRPr="000433CF">
        <w:rPr>
          <w:b/>
          <w:bCs/>
          <w:color w:val="4F81BD" w:themeColor="accent1"/>
          <w:sz w:val="18"/>
          <w:szCs w:val="18"/>
        </w:rPr>
        <w:fldChar w:fldCharType="separate"/>
      </w:r>
      <w:proofErr w:type="gramStart"/>
      <w:r w:rsidRPr="000433CF">
        <w:rPr>
          <w:b/>
          <w:bCs/>
          <w:color w:val="4F81BD" w:themeColor="accent1"/>
          <w:sz w:val="18"/>
          <w:szCs w:val="18"/>
        </w:rPr>
        <w:t>Source  1</w:t>
      </w:r>
      <w:proofErr w:type="gramEnd"/>
      <w:r w:rsidRPr="000433CF">
        <w:rPr>
          <w:b/>
          <w:bCs/>
          <w:color w:val="4F81BD" w:themeColor="accent1"/>
          <w:sz w:val="18"/>
          <w:szCs w:val="18"/>
        </w:rPr>
        <w:t xml:space="preserve"> Public Health England, accessed June 15th 2020</w:t>
      </w:r>
      <w:r w:rsidRPr="000433CF">
        <w:rPr>
          <w:b/>
          <w:bCs/>
          <w:color w:val="4F81BD" w:themeColor="accent1"/>
          <w:sz w:val="18"/>
          <w:szCs w:val="18"/>
        </w:rPr>
        <w:fldChar w:fldCharType="end"/>
      </w:r>
    </w:p>
    <w:p w14:paraId="1A910DD7" w14:textId="77777777" w:rsidR="000F271D" w:rsidRPr="000E1805" w:rsidRDefault="000F271D" w:rsidP="000F271D">
      <w:pPr>
        <w:spacing w:after="0"/>
        <w:rPr>
          <w:rFonts w:eastAsiaTheme="minorEastAsia" w:hAnsi="Calibri"/>
          <w:i/>
          <w:color w:val="000000" w:themeColor="text1"/>
          <w:kern w:val="24"/>
          <w:szCs w:val="24"/>
          <w:lang w:eastAsia="en-GB"/>
        </w:rPr>
        <w:sectPr w:rsidR="000F271D" w:rsidRPr="000E1805" w:rsidSect="000E1805">
          <w:type w:val="continuous"/>
          <w:pgSz w:w="16838" w:h="11906" w:orient="landscape"/>
          <w:pgMar w:top="1134" w:right="1440" w:bottom="851" w:left="1440" w:header="708" w:footer="708" w:gutter="0"/>
          <w:cols w:num="2" w:space="678"/>
          <w:docGrid w:linePitch="360"/>
        </w:sectPr>
      </w:pPr>
    </w:p>
    <w:p w14:paraId="1A910DD8" w14:textId="77777777" w:rsidR="00B1242C" w:rsidRPr="000E1805" w:rsidRDefault="00B1242C" w:rsidP="000F271D">
      <w:pPr>
        <w:pStyle w:val="Caption"/>
      </w:pPr>
      <w:bookmarkStart w:id="4" w:name="_Ref43402673"/>
      <w:r w:rsidRPr="000E1805">
        <w:t xml:space="preserve">Figure </w:t>
      </w:r>
      <w:fldSimple w:instr=" SEQ Figure \* ARABIC ">
        <w:r w:rsidR="00721ABB">
          <w:rPr>
            <w:noProof/>
          </w:rPr>
          <w:t>3</w:t>
        </w:r>
      </w:fldSimple>
      <w:bookmarkEnd w:id="4"/>
      <w:r w:rsidRPr="000E1805">
        <w:t xml:space="preserve"> Seven-day average lab-confirmed cases of COVID-19 in Harrow</w:t>
      </w:r>
    </w:p>
    <w:p w14:paraId="1A910DD9" w14:textId="77777777" w:rsidR="00B1242C" w:rsidRDefault="00B1242C" w:rsidP="000F271D">
      <w:pPr>
        <w:keepNext/>
        <w:spacing w:after="0"/>
      </w:pPr>
      <w:r w:rsidRPr="00B1242C">
        <w:rPr>
          <w:noProof/>
          <w:lang w:eastAsia="en-GB"/>
        </w:rPr>
        <w:drawing>
          <wp:inline distT="0" distB="0" distL="0" distR="0" wp14:anchorId="1A910F5E" wp14:editId="1A910F5F">
            <wp:extent cx="3676346" cy="22188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9104" cy="2220483"/>
                    </a:xfrm>
                    <a:prstGeom prst="rect">
                      <a:avLst/>
                    </a:prstGeom>
                    <a:noFill/>
                  </pic:spPr>
                </pic:pic>
              </a:graphicData>
            </a:graphic>
          </wp:inline>
        </w:drawing>
      </w:r>
    </w:p>
    <w:p w14:paraId="1A910DDA" w14:textId="77777777" w:rsidR="00B1242C" w:rsidRDefault="00406F30" w:rsidP="000F271D">
      <w:pPr>
        <w:pStyle w:val="Caption"/>
      </w:pPr>
      <w:r>
        <w:fldChar w:fldCharType="begin"/>
      </w:r>
      <w:r>
        <w:instrText xml:space="preserve"> REF _Ref43409175 \h </w:instrText>
      </w:r>
      <w:r>
        <w:fldChar w:fldCharType="separate"/>
      </w:r>
      <w:proofErr w:type="gramStart"/>
      <w:r w:rsidRPr="000E1805">
        <w:t xml:space="preserve">Source  </w:t>
      </w:r>
      <w:r w:rsidRPr="000E1805">
        <w:rPr>
          <w:noProof/>
        </w:rPr>
        <w:t>1</w:t>
      </w:r>
      <w:proofErr w:type="gramEnd"/>
      <w:r w:rsidRPr="000E1805">
        <w:t xml:space="preserve"> Public Health England, accessed June 15th 2020</w:t>
      </w:r>
      <w:r>
        <w:fldChar w:fldCharType="end"/>
      </w:r>
    </w:p>
    <w:p w14:paraId="1A910DDB" w14:textId="77777777" w:rsidR="000F271D" w:rsidRPr="000F271D" w:rsidRDefault="000F271D" w:rsidP="000F271D"/>
    <w:p w14:paraId="1A910DDC" w14:textId="77777777" w:rsidR="00B1242C" w:rsidRDefault="00B1242C" w:rsidP="000F271D">
      <w:pPr>
        <w:pStyle w:val="Caption"/>
      </w:pPr>
      <w:bookmarkStart w:id="5" w:name="_Ref43402686"/>
      <w:r>
        <w:t xml:space="preserve">Figure </w:t>
      </w:r>
      <w:fldSimple w:instr=" SEQ Figure \* ARABIC ">
        <w:r w:rsidR="00721ABB">
          <w:rPr>
            <w:noProof/>
          </w:rPr>
          <w:t>4</w:t>
        </w:r>
      </w:fldSimple>
      <w:bookmarkEnd w:id="5"/>
      <w:r w:rsidR="000E1805">
        <w:t xml:space="preserve"> Seven</w:t>
      </w:r>
      <w:r w:rsidRPr="00B1242C">
        <w:t>-day average lab-confirmed cases of COVID-19 in London</w:t>
      </w:r>
    </w:p>
    <w:p w14:paraId="1A910DDD" w14:textId="77777777" w:rsidR="00B1242C" w:rsidRDefault="00B1242C" w:rsidP="000F271D">
      <w:pPr>
        <w:keepNext/>
        <w:spacing w:after="0"/>
      </w:pPr>
      <w:r>
        <w:rPr>
          <w:noProof/>
          <w:lang w:eastAsia="en-GB"/>
        </w:rPr>
        <w:drawing>
          <wp:inline distT="0" distB="0" distL="0" distR="0" wp14:anchorId="1A910F60" wp14:editId="1A910F61">
            <wp:extent cx="3686175" cy="22318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8328" cy="2233166"/>
                    </a:xfrm>
                    <a:prstGeom prst="rect">
                      <a:avLst/>
                    </a:prstGeom>
                    <a:noFill/>
                  </pic:spPr>
                </pic:pic>
              </a:graphicData>
            </a:graphic>
          </wp:inline>
        </w:drawing>
      </w:r>
    </w:p>
    <w:p w14:paraId="1A910DDE" w14:textId="77777777" w:rsidR="00B1242C" w:rsidRPr="000E1805" w:rsidRDefault="00406F30" w:rsidP="000F271D">
      <w:pPr>
        <w:pStyle w:val="Caption"/>
      </w:pPr>
      <w:r>
        <w:fldChar w:fldCharType="begin"/>
      </w:r>
      <w:r>
        <w:instrText xml:space="preserve"> REF _Ref43409175 \h </w:instrText>
      </w:r>
      <w:r>
        <w:fldChar w:fldCharType="separate"/>
      </w:r>
      <w:proofErr w:type="gramStart"/>
      <w:r w:rsidRPr="000E1805">
        <w:t xml:space="preserve">Source  </w:t>
      </w:r>
      <w:r w:rsidRPr="000E1805">
        <w:rPr>
          <w:noProof/>
        </w:rPr>
        <w:t>1</w:t>
      </w:r>
      <w:proofErr w:type="gramEnd"/>
      <w:r w:rsidRPr="000E1805">
        <w:t xml:space="preserve"> Public Health England, accessed June 15th 2020</w:t>
      </w:r>
      <w:r>
        <w:fldChar w:fldCharType="end"/>
      </w:r>
    </w:p>
    <w:p w14:paraId="1A910DDF" w14:textId="77777777" w:rsidR="00B1242C" w:rsidRDefault="00B1242C" w:rsidP="00313E20">
      <w:pPr>
        <w:rPr>
          <w:rFonts w:ascii="Trebuchet MS" w:eastAsia="Calibri" w:hAnsi="Trebuchet MS" w:cs="Arial"/>
          <w:b/>
          <w:color w:val="4F81BD" w:themeColor="accent1"/>
          <w:szCs w:val="24"/>
        </w:rPr>
      </w:pPr>
    </w:p>
    <w:p w14:paraId="1A910DE0" w14:textId="77777777" w:rsidR="000F271D" w:rsidRDefault="000F271D" w:rsidP="00313E20">
      <w:pPr>
        <w:rPr>
          <w:rFonts w:ascii="Trebuchet MS" w:eastAsia="Calibri" w:hAnsi="Trebuchet MS" w:cs="Arial"/>
          <w:b/>
          <w:color w:val="4F81BD" w:themeColor="accent1"/>
          <w:szCs w:val="24"/>
        </w:rPr>
        <w:sectPr w:rsidR="000F271D" w:rsidSect="00B1242C">
          <w:type w:val="continuous"/>
          <w:pgSz w:w="16838" w:h="11906" w:orient="landscape"/>
          <w:pgMar w:top="1440" w:right="1440" w:bottom="1440" w:left="1440" w:header="708" w:footer="708" w:gutter="0"/>
          <w:cols w:num="2" w:space="708"/>
          <w:docGrid w:linePitch="360"/>
        </w:sectPr>
      </w:pPr>
    </w:p>
    <w:p w14:paraId="1A910DE1" w14:textId="77777777" w:rsidR="00385962" w:rsidRDefault="00385962" w:rsidP="0020039E">
      <w:pPr>
        <w:pStyle w:val="Heading1"/>
      </w:pPr>
      <w:r>
        <w:lastRenderedPageBreak/>
        <w:t>Rates of COVID-19 Infections</w:t>
      </w:r>
    </w:p>
    <w:p w14:paraId="1A910DE2" w14:textId="77777777" w:rsidR="0069180C" w:rsidRDefault="000E1805" w:rsidP="0069180C">
      <w:r>
        <w:t>L</w:t>
      </w:r>
      <w:r w:rsidR="00856893" w:rsidRPr="00856893">
        <w:t xml:space="preserve">ondon has </w:t>
      </w:r>
      <w:r w:rsidR="0020039E">
        <w:t xml:space="preserve">had </w:t>
      </w:r>
      <w:r w:rsidR="00856893" w:rsidRPr="00856893">
        <w:t xml:space="preserve">the highest </w:t>
      </w:r>
      <w:r w:rsidR="00385962">
        <w:t xml:space="preserve">number of </w:t>
      </w:r>
      <w:r w:rsidR="00385962" w:rsidRPr="00856893">
        <w:t xml:space="preserve">lab-confirmed </w:t>
      </w:r>
      <w:r w:rsidR="00385962">
        <w:t>COVID-19 cases in England, giving a crude rate (i.e. by dividing the number of cases by the total population numbers)</w:t>
      </w:r>
      <w:r w:rsidR="00450AD7">
        <w:t xml:space="preserve"> </w:t>
      </w:r>
      <w:r w:rsidR="00385962">
        <w:t>of</w:t>
      </w:r>
      <w:r w:rsidR="00856893" w:rsidRPr="00856893">
        <w:t xml:space="preserve"> 304.7</w:t>
      </w:r>
      <w:r w:rsidR="00385962">
        <w:t xml:space="preserve"> cases</w:t>
      </w:r>
      <w:r w:rsidR="00856893" w:rsidRPr="00856893">
        <w:t xml:space="preserve"> per 100,000</w:t>
      </w:r>
      <w:r w:rsidR="00385962">
        <w:t xml:space="preserve"> p</w:t>
      </w:r>
      <w:r w:rsidR="00C80590">
        <w:t>opulation</w:t>
      </w:r>
      <w:r w:rsidR="00385962">
        <w:t>. Using this same method, o</w:t>
      </w:r>
      <w:r w:rsidR="00856893" w:rsidRPr="00856893">
        <w:t xml:space="preserve">ut of the 32 boroughs in London, Harrow has </w:t>
      </w:r>
      <w:r w:rsidR="0020039E">
        <w:t xml:space="preserve">had </w:t>
      </w:r>
      <w:r w:rsidR="00856893" w:rsidRPr="00856893">
        <w:t>the second highest reported a</w:t>
      </w:r>
      <w:r w:rsidR="00C579B8">
        <w:t>t 414.6 per 100,000 population. T</w:t>
      </w:r>
      <w:r w:rsidR="00856893" w:rsidRPr="00856893">
        <w:t>he borough of Brent has the highest, at 448.0 per 100,000 population.</w:t>
      </w:r>
      <w:r w:rsidR="00C579B8">
        <w:t xml:space="preserve"> </w:t>
      </w:r>
    </w:p>
    <w:p w14:paraId="1A910DE3" w14:textId="77777777" w:rsidR="0069180C" w:rsidRDefault="0069180C" w:rsidP="0069180C"/>
    <w:p w14:paraId="1A910DE4" w14:textId="77777777" w:rsidR="0069180C" w:rsidRDefault="0069180C" w:rsidP="0069180C">
      <w:pPr>
        <w:rPr>
          <w:rFonts w:eastAsiaTheme="minorEastAsia" w:hAnsi="Calibri"/>
          <w:color w:val="000000" w:themeColor="text1"/>
          <w:kern w:val="24"/>
        </w:rPr>
      </w:pPr>
      <w:r w:rsidRPr="00856893">
        <w:rPr>
          <w:rFonts w:eastAsiaTheme="minorEastAsia" w:hAnsi="Calibri"/>
          <w:color w:val="000000" w:themeColor="text1"/>
          <w:kern w:val="24"/>
        </w:rPr>
        <w:t>O</w:t>
      </w:r>
      <w:r>
        <w:rPr>
          <w:rFonts w:eastAsiaTheme="minorEastAsia" w:hAnsi="Calibri"/>
          <w:color w:val="000000" w:themeColor="text1"/>
          <w:kern w:val="24"/>
        </w:rPr>
        <w:t>verall, Harrow had 1045</w:t>
      </w:r>
      <w:r w:rsidRPr="00856893">
        <w:rPr>
          <w:rFonts w:eastAsiaTheme="minorEastAsia" w:hAnsi="Calibri"/>
          <w:color w:val="000000" w:themeColor="text1"/>
          <w:kern w:val="24"/>
        </w:rPr>
        <w:t xml:space="preserve"> confirmed cases </w:t>
      </w:r>
      <w:r w:rsidR="00E2722F">
        <w:rPr>
          <w:rFonts w:eastAsiaTheme="minorEastAsia" w:hAnsi="Calibri"/>
          <w:color w:val="000000" w:themeColor="text1"/>
          <w:kern w:val="24"/>
        </w:rPr>
        <w:t>for this period</w:t>
      </w:r>
      <w:r w:rsidRPr="00856893">
        <w:rPr>
          <w:rFonts w:eastAsiaTheme="minorEastAsia" w:hAnsi="Calibri"/>
          <w:color w:val="000000" w:themeColor="text1"/>
          <w:kern w:val="24"/>
        </w:rPr>
        <w:t xml:space="preserve">, which </w:t>
      </w:r>
      <w:r w:rsidR="00E2722F">
        <w:rPr>
          <w:rFonts w:eastAsiaTheme="minorEastAsia" w:hAnsi="Calibri"/>
          <w:color w:val="000000" w:themeColor="text1"/>
          <w:kern w:val="24"/>
        </w:rPr>
        <w:t>was</w:t>
      </w:r>
      <w:r w:rsidRPr="00856893">
        <w:rPr>
          <w:rFonts w:eastAsiaTheme="minorEastAsia" w:hAnsi="Calibri"/>
          <w:color w:val="000000" w:themeColor="text1"/>
          <w:kern w:val="24"/>
        </w:rPr>
        <w:t xml:space="preserve"> 3.8% of the total cases for London. </w:t>
      </w:r>
      <w:r w:rsidR="00C80590">
        <w:rPr>
          <w:rFonts w:eastAsiaTheme="minorEastAsia" w:hAnsi="Calibri"/>
          <w:color w:val="000000" w:themeColor="text1"/>
          <w:kern w:val="24"/>
        </w:rPr>
        <w:t>At some points during this period</w:t>
      </w:r>
      <w:r w:rsidR="00A90290">
        <w:rPr>
          <w:rFonts w:eastAsiaTheme="minorEastAsia" w:hAnsi="Calibri"/>
          <w:color w:val="000000" w:themeColor="text1"/>
          <w:kern w:val="24"/>
        </w:rPr>
        <w:t>,</w:t>
      </w:r>
      <w:r w:rsidR="00C80590">
        <w:rPr>
          <w:rFonts w:eastAsiaTheme="minorEastAsia" w:hAnsi="Calibri"/>
          <w:color w:val="000000" w:themeColor="text1"/>
          <w:kern w:val="24"/>
        </w:rPr>
        <w:t xml:space="preserve"> the proportion of total London cases that occurred in Harrow</w:t>
      </w:r>
      <w:r w:rsidRPr="00856893">
        <w:rPr>
          <w:rFonts w:eastAsiaTheme="minorEastAsia" w:hAnsi="Calibri"/>
          <w:color w:val="000000" w:themeColor="text1"/>
          <w:kern w:val="24"/>
        </w:rPr>
        <w:t xml:space="preserve"> increased to over 5% </w:t>
      </w:r>
      <w:r w:rsidR="00E2722F">
        <w:rPr>
          <w:rFonts w:eastAsiaTheme="minorEastAsia" w:hAnsi="Calibri"/>
          <w:color w:val="000000" w:themeColor="text1"/>
          <w:kern w:val="24"/>
        </w:rPr>
        <w:t>before reducing to this average</w:t>
      </w:r>
      <w:r w:rsidRPr="00856893">
        <w:rPr>
          <w:rFonts w:eastAsiaTheme="minorEastAsia" w:hAnsi="Calibri"/>
          <w:color w:val="000000" w:themeColor="text1"/>
          <w:kern w:val="24"/>
        </w:rPr>
        <w:t xml:space="preserve">.  </w:t>
      </w:r>
      <w:r w:rsidR="00E2722F" w:rsidRPr="00856893">
        <w:rPr>
          <w:rFonts w:eastAsiaTheme="minorEastAsia" w:hAnsi="Calibri"/>
          <w:color w:val="000000" w:themeColor="text1"/>
          <w:kern w:val="24"/>
        </w:rPr>
        <w:t xml:space="preserve">Harrow </w:t>
      </w:r>
      <w:r w:rsidR="00E2722F">
        <w:rPr>
          <w:rFonts w:eastAsiaTheme="minorEastAsia" w:hAnsi="Calibri"/>
          <w:color w:val="000000" w:themeColor="text1"/>
          <w:kern w:val="24"/>
        </w:rPr>
        <w:t>accounts for</w:t>
      </w:r>
      <w:r w:rsidR="00E2722F" w:rsidRPr="00856893">
        <w:rPr>
          <w:rFonts w:eastAsiaTheme="minorEastAsia" w:hAnsi="Calibri"/>
          <w:color w:val="000000" w:themeColor="text1"/>
          <w:kern w:val="24"/>
        </w:rPr>
        <w:t xml:space="preserve"> approximately 2.8% of the London population</w:t>
      </w:r>
      <w:r w:rsidR="00E2722F">
        <w:rPr>
          <w:rFonts w:eastAsiaTheme="minorEastAsia" w:hAnsi="Calibri"/>
          <w:color w:val="000000" w:themeColor="text1"/>
          <w:kern w:val="24"/>
        </w:rPr>
        <w:t xml:space="preserve">.  </w:t>
      </w:r>
      <w:r w:rsidR="00C80590">
        <w:rPr>
          <w:rFonts w:eastAsiaTheme="minorEastAsia" w:hAnsi="Calibri"/>
          <w:color w:val="000000" w:themeColor="text1"/>
          <w:kern w:val="24"/>
        </w:rPr>
        <w:t xml:space="preserve">This illustrates the </w:t>
      </w:r>
      <w:r w:rsidR="00E2722F">
        <w:rPr>
          <w:rFonts w:eastAsiaTheme="minorEastAsia" w:hAnsi="Calibri"/>
          <w:color w:val="000000" w:themeColor="text1"/>
          <w:kern w:val="24"/>
        </w:rPr>
        <w:t>disproportionate</w:t>
      </w:r>
      <w:r w:rsidR="00C80590">
        <w:rPr>
          <w:rFonts w:eastAsiaTheme="minorEastAsia" w:hAnsi="Calibri"/>
          <w:color w:val="000000" w:themeColor="text1"/>
          <w:kern w:val="24"/>
        </w:rPr>
        <w:t xml:space="preserve"> </w:t>
      </w:r>
      <w:r w:rsidR="00E2722F">
        <w:rPr>
          <w:rFonts w:eastAsiaTheme="minorEastAsia" w:hAnsi="Calibri"/>
          <w:color w:val="000000" w:themeColor="text1"/>
          <w:kern w:val="24"/>
        </w:rPr>
        <w:t xml:space="preserve">burden of the pandemic on </w:t>
      </w:r>
      <w:r w:rsidRPr="00856893">
        <w:rPr>
          <w:rFonts w:eastAsiaTheme="minorEastAsia" w:hAnsi="Calibri"/>
          <w:color w:val="000000" w:themeColor="text1"/>
          <w:kern w:val="24"/>
        </w:rPr>
        <w:t xml:space="preserve">Harrow </w:t>
      </w:r>
      <w:r w:rsidR="00A90290">
        <w:rPr>
          <w:rFonts w:eastAsiaTheme="minorEastAsia" w:hAnsi="Calibri"/>
          <w:color w:val="000000" w:themeColor="text1"/>
          <w:kern w:val="24"/>
        </w:rPr>
        <w:t>with crude rates of cases that are</w:t>
      </w:r>
      <w:r w:rsidRPr="00856893">
        <w:rPr>
          <w:rFonts w:eastAsiaTheme="minorEastAsia" w:hAnsi="Calibri"/>
          <w:color w:val="000000" w:themeColor="text1"/>
          <w:kern w:val="24"/>
        </w:rPr>
        <w:t xml:space="preserve"> 1.35 times higher than London average.  </w:t>
      </w:r>
    </w:p>
    <w:p w14:paraId="1A910DE5" w14:textId="77777777" w:rsidR="00E2722F" w:rsidRPr="00856893" w:rsidRDefault="00E2722F" w:rsidP="0069180C">
      <w:pPr>
        <w:rPr>
          <w:rFonts w:eastAsiaTheme="minorEastAsia" w:hAnsi="Calibri"/>
          <w:color w:val="000000" w:themeColor="text1"/>
          <w:kern w:val="24"/>
        </w:rPr>
      </w:pPr>
    </w:p>
    <w:p w14:paraId="1A910DE6" w14:textId="77777777" w:rsidR="00406F30" w:rsidRDefault="00D77EED" w:rsidP="0069180C">
      <w:r>
        <w:t>We need to understand what has led to this disproportionally high infection rate.</w:t>
      </w:r>
    </w:p>
    <w:p w14:paraId="1A910DE7" w14:textId="77777777" w:rsidR="00D77EED" w:rsidRDefault="00D77EED" w:rsidP="0069180C"/>
    <w:p w14:paraId="1A910DE8" w14:textId="77777777" w:rsidR="00406F30" w:rsidRDefault="00406F30" w:rsidP="000F271D">
      <w:pPr>
        <w:pStyle w:val="Caption"/>
      </w:pPr>
      <w:r>
        <w:t xml:space="preserve">Figure </w:t>
      </w:r>
      <w:fldSimple w:instr=" SEQ Figure \* ARABIC ">
        <w:r w:rsidR="00721ABB">
          <w:rPr>
            <w:noProof/>
          </w:rPr>
          <w:t>5</w:t>
        </w:r>
      </w:fldSimple>
      <w:r w:rsidRPr="00406F30">
        <w:t xml:space="preserve"> Rate of COVID-19 cases, per 100,000 population by London Boroughs</w:t>
      </w:r>
    </w:p>
    <w:p w14:paraId="1A910DE9" w14:textId="77777777" w:rsidR="00856893" w:rsidRPr="00856893" w:rsidRDefault="00406F30">
      <w:pPr>
        <w:rPr>
          <w:szCs w:val="24"/>
        </w:rPr>
      </w:pPr>
      <w:r>
        <w:rPr>
          <w:rFonts w:ascii="Trebuchet MS" w:eastAsia="Calibri" w:hAnsi="Trebuchet MS" w:cs="Arial"/>
          <w:b/>
          <w:noProof/>
          <w:color w:val="4F81BD" w:themeColor="accent1"/>
          <w:lang w:eastAsia="en-GB"/>
        </w:rPr>
        <w:drawing>
          <wp:inline distT="0" distB="0" distL="0" distR="0" wp14:anchorId="1A910F62" wp14:editId="1A910F63">
            <wp:extent cx="4057650" cy="477968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1718" cy="4784480"/>
                    </a:xfrm>
                    <a:prstGeom prst="rect">
                      <a:avLst/>
                    </a:prstGeom>
                    <a:noFill/>
                  </pic:spPr>
                </pic:pic>
              </a:graphicData>
            </a:graphic>
          </wp:inline>
        </w:drawing>
      </w:r>
    </w:p>
    <w:p w14:paraId="1A910DEA" w14:textId="77777777" w:rsidR="006B72D1" w:rsidRDefault="00840504" w:rsidP="000F271D">
      <w:pPr>
        <w:pStyle w:val="Caption"/>
        <w:rPr>
          <w:rFonts w:ascii="Trebuchet MS" w:eastAsia="Calibri" w:hAnsi="Trebuchet MS" w:cs="Arial"/>
        </w:rPr>
      </w:pPr>
      <w:r>
        <w:rPr>
          <w:rFonts w:ascii="Trebuchet MS" w:eastAsia="Calibri" w:hAnsi="Trebuchet MS" w:cs="Arial"/>
        </w:rPr>
        <w:fldChar w:fldCharType="begin"/>
      </w:r>
      <w:r>
        <w:rPr>
          <w:rFonts w:ascii="Trebuchet MS" w:eastAsia="Calibri" w:hAnsi="Trebuchet MS" w:cs="Arial"/>
        </w:rPr>
        <w:instrText xml:space="preserve"> REF _Ref43409175 \h  \* MERGEFORMAT </w:instrText>
      </w:r>
      <w:r>
        <w:rPr>
          <w:rFonts w:ascii="Trebuchet MS" w:eastAsia="Calibri" w:hAnsi="Trebuchet MS" w:cs="Arial"/>
        </w:rPr>
      </w:r>
      <w:r>
        <w:rPr>
          <w:rFonts w:ascii="Trebuchet MS" w:eastAsia="Calibri" w:hAnsi="Trebuchet MS" w:cs="Arial"/>
        </w:rPr>
        <w:fldChar w:fldCharType="separate"/>
      </w:r>
      <w:proofErr w:type="gramStart"/>
      <w:r w:rsidRPr="000E1805">
        <w:t xml:space="preserve">Source  </w:t>
      </w:r>
      <w:r w:rsidRPr="000E1805">
        <w:rPr>
          <w:noProof/>
        </w:rPr>
        <w:t>1</w:t>
      </w:r>
      <w:proofErr w:type="gramEnd"/>
      <w:r w:rsidRPr="000E1805">
        <w:t xml:space="preserve"> Public Health England, accessed June 15th 2020</w:t>
      </w:r>
      <w:r>
        <w:rPr>
          <w:rFonts w:ascii="Trebuchet MS" w:eastAsia="Calibri" w:hAnsi="Trebuchet MS" w:cs="Arial"/>
        </w:rPr>
        <w:fldChar w:fldCharType="end"/>
      </w:r>
    </w:p>
    <w:p w14:paraId="1A910DEB" w14:textId="77777777" w:rsidR="00406F30" w:rsidRDefault="00406F30">
      <w:pPr>
        <w:rPr>
          <w:rFonts w:ascii="Trebuchet MS" w:eastAsia="Calibri" w:hAnsi="Trebuchet MS" w:cs="Arial"/>
          <w:b/>
          <w:color w:val="4F81BD" w:themeColor="accent1"/>
        </w:rPr>
        <w:sectPr w:rsidR="00406F30" w:rsidSect="00406F30">
          <w:type w:val="continuous"/>
          <w:pgSz w:w="16838" w:h="11906" w:orient="landscape"/>
          <w:pgMar w:top="1440" w:right="1440" w:bottom="1440" w:left="1440" w:header="708" w:footer="708" w:gutter="0"/>
          <w:cols w:num="2" w:space="708"/>
          <w:docGrid w:linePitch="360"/>
        </w:sectPr>
      </w:pPr>
    </w:p>
    <w:p w14:paraId="1A910DEC" w14:textId="77777777" w:rsidR="00DC002B" w:rsidRDefault="00DC002B" w:rsidP="00DC002B">
      <w:pPr>
        <w:pStyle w:val="Heading1"/>
      </w:pPr>
      <w:r>
        <w:lastRenderedPageBreak/>
        <w:t>Age profile of COVID-19 cases</w:t>
      </w:r>
    </w:p>
    <w:p w14:paraId="1A910DED" w14:textId="77777777" w:rsidR="00E82F0F" w:rsidRDefault="00C8610B" w:rsidP="00C8610B">
      <w:pPr>
        <w:rPr>
          <w:lang w:eastAsia="en-GB"/>
        </w:rPr>
      </w:pPr>
      <w:r>
        <w:rPr>
          <w:lang w:eastAsia="en-GB"/>
        </w:rPr>
        <w:t>More than ha</w:t>
      </w:r>
      <w:r w:rsidR="00661976">
        <w:rPr>
          <w:lang w:eastAsia="en-GB"/>
        </w:rPr>
        <w:t>l</w:t>
      </w:r>
      <w:r>
        <w:rPr>
          <w:lang w:eastAsia="en-GB"/>
        </w:rPr>
        <w:t xml:space="preserve">f of </w:t>
      </w:r>
      <w:proofErr w:type="gramStart"/>
      <w:r>
        <w:rPr>
          <w:lang w:eastAsia="en-GB"/>
        </w:rPr>
        <w:t>all of</w:t>
      </w:r>
      <w:proofErr w:type="gramEnd"/>
      <w:r>
        <w:rPr>
          <w:lang w:eastAsia="en-GB"/>
        </w:rPr>
        <w:t xml:space="preserve"> the cases in Harrow </w:t>
      </w:r>
      <w:r w:rsidR="00C7286F" w:rsidRPr="00C7286F">
        <w:rPr>
          <w:lang w:eastAsia="en-GB"/>
        </w:rPr>
        <w:t>occurred</w:t>
      </w:r>
      <w:r>
        <w:rPr>
          <w:lang w:eastAsia="en-GB"/>
        </w:rPr>
        <w:t xml:space="preserve"> in people of </w:t>
      </w:r>
      <w:r w:rsidR="00856893" w:rsidRPr="00CA6281">
        <w:rPr>
          <w:lang w:eastAsia="en-GB"/>
        </w:rPr>
        <w:t>working age (20-64 years)</w:t>
      </w:r>
      <w:r>
        <w:rPr>
          <w:lang w:eastAsia="en-GB"/>
        </w:rPr>
        <w:t>.</w:t>
      </w:r>
      <w:r w:rsidR="00C7286F">
        <w:rPr>
          <w:lang w:eastAsia="en-GB"/>
        </w:rPr>
        <w:t xml:space="preserve">  The cases in children and young people accounted for less than 3% of cases.  This is </w:t>
      </w:r>
      <w:proofErr w:type="gramStart"/>
      <w:r w:rsidR="00C7286F">
        <w:rPr>
          <w:lang w:eastAsia="en-GB"/>
        </w:rPr>
        <w:t>similar to</w:t>
      </w:r>
      <w:proofErr w:type="gramEnd"/>
      <w:r w:rsidR="00C7286F">
        <w:rPr>
          <w:lang w:eastAsia="en-GB"/>
        </w:rPr>
        <w:t xml:space="preserve"> the pattern seen across the country where children are either not being infected by COVID -19 or they experience very mild disease.  </w:t>
      </w:r>
    </w:p>
    <w:p w14:paraId="1A910DEE" w14:textId="77777777" w:rsidR="00A26DD0" w:rsidRPr="00CA6281" w:rsidRDefault="00C7286F" w:rsidP="00C8610B">
      <w:pPr>
        <w:rPr>
          <w:lang w:eastAsia="en-GB"/>
        </w:rPr>
      </w:pPr>
      <w:r>
        <w:rPr>
          <w:lang w:eastAsia="en-GB"/>
        </w:rPr>
        <w:t>If we consider the age specific rates of laboratory diagnosed infection with COVID we see that the rate increases dramatically with increasing age.  The</w:t>
      </w:r>
      <w:r w:rsidR="00856893" w:rsidRPr="00CA6281">
        <w:rPr>
          <w:lang w:eastAsia="en-GB"/>
        </w:rPr>
        <w:t xml:space="preserve"> 80 </w:t>
      </w:r>
      <w:proofErr w:type="gramStart"/>
      <w:r w:rsidR="00856893" w:rsidRPr="00CA6281">
        <w:rPr>
          <w:lang w:eastAsia="en-GB"/>
        </w:rPr>
        <w:t>+  group</w:t>
      </w:r>
      <w:proofErr w:type="gramEnd"/>
      <w:r w:rsidR="00856893" w:rsidRPr="00CA6281">
        <w:rPr>
          <w:lang w:eastAsia="en-GB"/>
        </w:rPr>
        <w:t xml:space="preserve"> in Harrow have the highest rate per 100,000 population at 1</w:t>
      </w:r>
      <w:r w:rsidR="00CA6281">
        <w:rPr>
          <w:lang w:eastAsia="en-GB"/>
        </w:rPr>
        <w:t>,</w:t>
      </w:r>
      <w:r w:rsidR="00856893" w:rsidRPr="00CA6281">
        <w:rPr>
          <w:lang w:eastAsia="en-GB"/>
        </w:rPr>
        <w:t>395 cases, which is 42 times higher than those under 20 in Harrow.</w:t>
      </w:r>
      <w:r w:rsidRPr="00C7286F">
        <w:rPr>
          <w:rFonts w:ascii="Trebuchet MS" w:eastAsia="Calibri" w:hAnsi="Trebuchet MS" w:cs="Arial"/>
          <w:b/>
          <w:color w:val="4F81BD" w:themeColor="accent1"/>
        </w:rPr>
        <w:t xml:space="preserve"> </w:t>
      </w:r>
    </w:p>
    <w:p w14:paraId="1A910DEF" w14:textId="77777777" w:rsidR="00C8610B" w:rsidRDefault="00C8610B" w:rsidP="000F271D">
      <w:pPr>
        <w:pStyle w:val="Caption"/>
      </w:pPr>
      <w:r>
        <w:t xml:space="preserve">Figure </w:t>
      </w:r>
      <w:fldSimple w:instr=" SEQ Figure \* ARABIC ">
        <w:r w:rsidR="00721ABB">
          <w:rPr>
            <w:noProof/>
          </w:rPr>
          <w:t>6</w:t>
        </w:r>
      </w:fldSimple>
      <w:r w:rsidRPr="00C8610B">
        <w:t xml:space="preserve"> Total number </w:t>
      </w:r>
      <w:r w:rsidR="00C7286F">
        <w:t xml:space="preserve">and rates </w:t>
      </w:r>
      <w:r w:rsidRPr="00C8610B">
        <w:t>of lab-confirmed cases by age in Harrow</w:t>
      </w:r>
    </w:p>
    <w:tbl>
      <w:tblPr>
        <w:tblStyle w:val="LightShading-Accent4"/>
        <w:tblW w:w="6771" w:type="dxa"/>
        <w:tblLook w:val="04A0" w:firstRow="1" w:lastRow="0" w:firstColumn="1" w:lastColumn="0" w:noHBand="0" w:noVBand="1"/>
      </w:tblPr>
      <w:tblGrid>
        <w:gridCol w:w="1014"/>
        <w:gridCol w:w="1978"/>
        <w:gridCol w:w="1843"/>
        <w:gridCol w:w="1936"/>
      </w:tblGrid>
      <w:tr w:rsidR="00CD068F" w:rsidRPr="00CD068F" w14:paraId="1A910DF4" w14:textId="77777777" w:rsidTr="00C7286F">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014" w:type="dxa"/>
            <w:hideMark/>
          </w:tcPr>
          <w:p w14:paraId="1A910DF0" w14:textId="77777777" w:rsidR="00CD068F" w:rsidRPr="00CD068F" w:rsidRDefault="00CD068F" w:rsidP="00CD068F">
            <w:pPr>
              <w:textAlignment w:val="center"/>
              <w:rPr>
                <w:rFonts w:ascii="Arial" w:eastAsia="Times New Roman" w:hAnsi="Arial" w:cs="Arial"/>
                <w:lang w:eastAsia="en-GB"/>
              </w:rPr>
            </w:pPr>
            <w:r w:rsidRPr="00CD068F">
              <w:rPr>
                <w:rFonts w:ascii="Calibri" w:eastAsia="Times New Roman" w:hAnsi="Calibri" w:cs="Arial"/>
                <w:color w:val="000000" w:themeColor="dark1"/>
                <w:kern w:val="24"/>
                <w:lang w:eastAsia="en-GB"/>
              </w:rPr>
              <w:t xml:space="preserve">Age </w:t>
            </w:r>
          </w:p>
        </w:tc>
        <w:tc>
          <w:tcPr>
            <w:tcW w:w="1978" w:type="dxa"/>
            <w:hideMark/>
          </w:tcPr>
          <w:p w14:paraId="1A910DF1" w14:textId="77777777" w:rsidR="00CD068F" w:rsidRPr="00CD068F" w:rsidRDefault="00CD068F" w:rsidP="00CD068F">
            <w:pPr>
              <w:jc w:val="center"/>
              <w:textAlignment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No of Cases</w:t>
            </w:r>
          </w:p>
        </w:tc>
        <w:tc>
          <w:tcPr>
            <w:tcW w:w="1843" w:type="dxa"/>
            <w:hideMark/>
          </w:tcPr>
          <w:p w14:paraId="1A910DF2" w14:textId="77777777" w:rsidR="00CD068F" w:rsidRPr="00CD068F" w:rsidRDefault="00CD068F" w:rsidP="00CD068F">
            <w:pPr>
              <w:jc w:val="center"/>
              <w:textAlignment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 of total cases</w:t>
            </w:r>
          </w:p>
        </w:tc>
        <w:tc>
          <w:tcPr>
            <w:tcW w:w="1936" w:type="dxa"/>
            <w:hideMark/>
          </w:tcPr>
          <w:p w14:paraId="1A910DF3" w14:textId="77777777" w:rsidR="00CD068F" w:rsidRPr="00CD068F" w:rsidRDefault="00CD068F" w:rsidP="00CD068F">
            <w:pPr>
              <w:jc w:val="center"/>
              <w:textAlignment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Per 100,000 Population</w:t>
            </w:r>
          </w:p>
        </w:tc>
      </w:tr>
      <w:tr w:rsidR="00CD068F" w:rsidRPr="00CD068F" w14:paraId="1A910DF9" w14:textId="77777777" w:rsidTr="00C7286F">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014" w:type="dxa"/>
            <w:hideMark/>
          </w:tcPr>
          <w:p w14:paraId="1A910DF5" w14:textId="77777777" w:rsidR="00CD068F" w:rsidRPr="00CD068F" w:rsidRDefault="00CD068F" w:rsidP="00CD068F">
            <w:pPr>
              <w:textAlignment w:val="bottom"/>
              <w:rPr>
                <w:rFonts w:ascii="Arial" w:eastAsia="Times New Roman" w:hAnsi="Arial" w:cs="Arial"/>
                <w:lang w:eastAsia="en-GB"/>
              </w:rPr>
            </w:pPr>
            <w:r w:rsidRPr="00CD068F">
              <w:rPr>
                <w:rFonts w:ascii="Calibri" w:eastAsia="Times New Roman" w:hAnsi="Calibri" w:cs="Arial"/>
                <w:color w:val="000000" w:themeColor="dark1"/>
                <w:kern w:val="24"/>
                <w:lang w:eastAsia="en-GB"/>
              </w:rPr>
              <w:t>0-19</w:t>
            </w:r>
          </w:p>
        </w:tc>
        <w:tc>
          <w:tcPr>
            <w:tcW w:w="1978" w:type="dxa"/>
            <w:hideMark/>
          </w:tcPr>
          <w:p w14:paraId="1A910DF6" w14:textId="77777777" w:rsidR="00CD068F" w:rsidRPr="00CD068F" w:rsidRDefault="00CD068F" w:rsidP="00CD068F">
            <w:pPr>
              <w:jc w:val="right"/>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22</w:t>
            </w:r>
          </w:p>
        </w:tc>
        <w:tc>
          <w:tcPr>
            <w:tcW w:w="1843" w:type="dxa"/>
            <w:hideMark/>
          </w:tcPr>
          <w:p w14:paraId="1A910DF7" w14:textId="77777777" w:rsidR="00CD068F" w:rsidRPr="00CD068F" w:rsidRDefault="00CD068F" w:rsidP="00CD068F">
            <w:pPr>
              <w:jc w:val="right"/>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2.9%</w:t>
            </w:r>
          </w:p>
        </w:tc>
        <w:tc>
          <w:tcPr>
            <w:tcW w:w="1936" w:type="dxa"/>
            <w:hideMark/>
          </w:tcPr>
          <w:p w14:paraId="1A910DF8" w14:textId="77777777" w:rsidR="00CD068F" w:rsidRPr="00CD068F" w:rsidRDefault="00CD068F" w:rsidP="00CD068F">
            <w:pPr>
              <w:jc w:val="right"/>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33</w:t>
            </w:r>
          </w:p>
        </w:tc>
      </w:tr>
      <w:tr w:rsidR="00CD068F" w:rsidRPr="00CD068F" w14:paraId="1A910DFE" w14:textId="77777777" w:rsidTr="00C7286F">
        <w:trPr>
          <w:trHeight w:val="523"/>
        </w:trPr>
        <w:tc>
          <w:tcPr>
            <w:cnfStyle w:val="001000000000" w:firstRow="0" w:lastRow="0" w:firstColumn="1" w:lastColumn="0" w:oddVBand="0" w:evenVBand="0" w:oddHBand="0" w:evenHBand="0" w:firstRowFirstColumn="0" w:firstRowLastColumn="0" w:lastRowFirstColumn="0" w:lastRowLastColumn="0"/>
            <w:tcW w:w="1014" w:type="dxa"/>
            <w:hideMark/>
          </w:tcPr>
          <w:p w14:paraId="1A910DFA" w14:textId="77777777" w:rsidR="00CD068F" w:rsidRPr="00CD068F" w:rsidRDefault="00CD068F" w:rsidP="00CD068F">
            <w:pPr>
              <w:textAlignment w:val="bottom"/>
              <w:rPr>
                <w:rFonts w:ascii="Arial" w:eastAsia="Times New Roman" w:hAnsi="Arial" w:cs="Arial"/>
                <w:lang w:eastAsia="en-GB"/>
              </w:rPr>
            </w:pPr>
            <w:r w:rsidRPr="00CD068F">
              <w:rPr>
                <w:rFonts w:ascii="Calibri" w:eastAsia="Times New Roman" w:hAnsi="Calibri" w:cs="Arial"/>
                <w:color w:val="000000" w:themeColor="dark1"/>
                <w:kern w:val="24"/>
                <w:lang w:eastAsia="en-GB"/>
              </w:rPr>
              <w:t>20-39</w:t>
            </w:r>
          </w:p>
        </w:tc>
        <w:tc>
          <w:tcPr>
            <w:tcW w:w="1978" w:type="dxa"/>
            <w:hideMark/>
          </w:tcPr>
          <w:p w14:paraId="1A910DFB" w14:textId="77777777" w:rsidR="00CD068F" w:rsidRPr="00CD068F" w:rsidRDefault="00CD068F" w:rsidP="00CD068F">
            <w:pPr>
              <w:jc w:val="right"/>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162</w:t>
            </w:r>
          </w:p>
        </w:tc>
        <w:tc>
          <w:tcPr>
            <w:tcW w:w="1843" w:type="dxa"/>
            <w:hideMark/>
          </w:tcPr>
          <w:p w14:paraId="1A910DFC" w14:textId="77777777" w:rsidR="00CD068F" w:rsidRPr="00CD068F" w:rsidRDefault="00CD068F" w:rsidP="00CD068F">
            <w:pPr>
              <w:jc w:val="right"/>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21.6%</w:t>
            </w:r>
          </w:p>
        </w:tc>
        <w:tc>
          <w:tcPr>
            <w:tcW w:w="1936" w:type="dxa"/>
            <w:hideMark/>
          </w:tcPr>
          <w:p w14:paraId="1A910DFD" w14:textId="77777777" w:rsidR="00CD068F" w:rsidRPr="00CD068F" w:rsidRDefault="00CD068F" w:rsidP="00CD068F">
            <w:pPr>
              <w:jc w:val="right"/>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224</w:t>
            </w:r>
          </w:p>
        </w:tc>
      </w:tr>
      <w:tr w:rsidR="00CD068F" w:rsidRPr="00CD068F" w14:paraId="1A910E03" w14:textId="77777777" w:rsidTr="00C7286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014" w:type="dxa"/>
            <w:hideMark/>
          </w:tcPr>
          <w:p w14:paraId="1A910DFF" w14:textId="77777777" w:rsidR="00CD068F" w:rsidRPr="00CD068F" w:rsidRDefault="00CD068F" w:rsidP="00CD068F">
            <w:pPr>
              <w:textAlignment w:val="bottom"/>
              <w:rPr>
                <w:rFonts w:ascii="Arial" w:eastAsia="Times New Roman" w:hAnsi="Arial" w:cs="Arial"/>
                <w:lang w:eastAsia="en-GB"/>
              </w:rPr>
            </w:pPr>
            <w:r w:rsidRPr="00CD068F">
              <w:rPr>
                <w:rFonts w:ascii="Calibri" w:eastAsia="Times New Roman" w:hAnsi="Calibri" w:cs="Arial"/>
                <w:color w:val="000000" w:themeColor="dark1"/>
                <w:kern w:val="24"/>
                <w:lang w:eastAsia="en-GB"/>
              </w:rPr>
              <w:t>40-64</w:t>
            </w:r>
          </w:p>
        </w:tc>
        <w:tc>
          <w:tcPr>
            <w:tcW w:w="1978" w:type="dxa"/>
            <w:hideMark/>
          </w:tcPr>
          <w:p w14:paraId="1A910E00" w14:textId="77777777" w:rsidR="00CD068F" w:rsidRPr="00CD068F" w:rsidRDefault="00CD068F" w:rsidP="00CD068F">
            <w:pPr>
              <w:jc w:val="right"/>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262</w:t>
            </w:r>
          </w:p>
        </w:tc>
        <w:tc>
          <w:tcPr>
            <w:tcW w:w="1843" w:type="dxa"/>
            <w:hideMark/>
          </w:tcPr>
          <w:p w14:paraId="1A910E01" w14:textId="77777777" w:rsidR="00CD068F" w:rsidRPr="00CD068F" w:rsidRDefault="00CD068F" w:rsidP="00CD068F">
            <w:pPr>
              <w:jc w:val="right"/>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35.0%</w:t>
            </w:r>
          </w:p>
        </w:tc>
        <w:tc>
          <w:tcPr>
            <w:tcW w:w="1936" w:type="dxa"/>
            <w:hideMark/>
          </w:tcPr>
          <w:p w14:paraId="1A910E02" w14:textId="77777777" w:rsidR="00CD068F" w:rsidRPr="00CD068F" w:rsidRDefault="00CD068F" w:rsidP="00CD068F">
            <w:pPr>
              <w:jc w:val="right"/>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324</w:t>
            </w:r>
          </w:p>
        </w:tc>
      </w:tr>
      <w:tr w:rsidR="00CD068F" w:rsidRPr="00CD068F" w14:paraId="1A910E08" w14:textId="77777777" w:rsidTr="00C7286F">
        <w:trPr>
          <w:trHeight w:val="390"/>
        </w:trPr>
        <w:tc>
          <w:tcPr>
            <w:cnfStyle w:val="001000000000" w:firstRow="0" w:lastRow="0" w:firstColumn="1" w:lastColumn="0" w:oddVBand="0" w:evenVBand="0" w:oddHBand="0" w:evenHBand="0" w:firstRowFirstColumn="0" w:firstRowLastColumn="0" w:lastRowFirstColumn="0" w:lastRowLastColumn="0"/>
            <w:tcW w:w="1014" w:type="dxa"/>
            <w:hideMark/>
          </w:tcPr>
          <w:p w14:paraId="1A910E04" w14:textId="77777777" w:rsidR="00CD068F" w:rsidRPr="00CD068F" w:rsidRDefault="00CD068F" w:rsidP="00CD068F">
            <w:pPr>
              <w:textAlignment w:val="bottom"/>
              <w:rPr>
                <w:rFonts w:ascii="Arial" w:eastAsia="Times New Roman" w:hAnsi="Arial" w:cs="Arial"/>
                <w:lang w:eastAsia="en-GB"/>
              </w:rPr>
            </w:pPr>
            <w:r w:rsidRPr="00CD068F">
              <w:rPr>
                <w:rFonts w:ascii="Calibri" w:eastAsia="Times New Roman" w:hAnsi="Calibri" w:cs="Arial"/>
                <w:color w:val="000000" w:themeColor="dark1"/>
                <w:kern w:val="24"/>
                <w:lang w:eastAsia="en-GB"/>
              </w:rPr>
              <w:t>65-79</w:t>
            </w:r>
          </w:p>
        </w:tc>
        <w:tc>
          <w:tcPr>
            <w:tcW w:w="1978" w:type="dxa"/>
            <w:hideMark/>
          </w:tcPr>
          <w:p w14:paraId="1A910E05" w14:textId="77777777" w:rsidR="00CD068F" w:rsidRPr="00CD068F" w:rsidRDefault="00CD068F" w:rsidP="00CD068F">
            <w:pPr>
              <w:jc w:val="right"/>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137</w:t>
            </w:r>
          </w:p>
        </w:tc>
        <w:tc>
          <w:tcPr>
            <w:tcW w:w="1843" w:type="dxa"/>
            <w:hideMark/>
          </w:tcPr>
          <w:p w14:paraId="1A910E06" w14:textId="77777777" w:rsidR="00CD068F" w:rsidRPr="00CD068F" w:rsidRDefault="00CD068F" w:rsidP="00CD068F">
            <w:pPr>
              <w:jc w:val="right"/>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18.3%</w:t>
            </w:r>
          </w:p>
        </w:tc>
        <w:tc>
          <w:tcPr>
            <w:tcW w:w="1936" w:type="dxa"/>
            <w:hideMark/>
          </w:tcPr>
          <w:p w14:paraId="1A910E07" w14:textId="77777777" w:rsidR="00CD068F" w:rsidRPr="00CD068F" w:rsidRDefault="00CD068F" w:rsidP="00CD068F">
            <w:pPr>
              <w:jc w:val="right"/>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474</w:t>
            </w:r>
          </w:p>
        </w:tc>
      </w:tr>
      <w:tr w:rsidR="00CD068F" w:rsidRPr="00CD068F" w14:paraId="1A910E0D" w14:textId="77777777" w:rsidTr="00C7286F">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14" w:type="dxa"/>
            <w:hideMark/>
          </w:tcPr>
          <w:p w14:paraId="1A910E09" w14:textId="77777777" w:rsidR="00CD068F" w:rsidRPr="00CD068F" w:rsidRDefault="00CD068F" w:rsidP="00CD068F">
            <w:pPr>
              <w:textAlignment w:val="bottom"/>
              <w:rPr>
                <w:rFonts w:ascii="Arial" w:eastAsia="Times New Roman" w:hAnsi="Arial" w:cs="Arial"/>
                <w:lang w:eastAsia="en-GB"/>
              </w:rPr>
            </w:pPr>
            <w:r w:rsidRPr="00CD068F">
              <w:rPr>
                <w:rFonts w:ascii="Calibri" w:eastAsia="Times New Roman" w:hAnsi="Calibri" w:cs="Arial"/>
                <w:color w:val="000000" w:themeColor="dark1"/>
                <w:kern w:val="24"/>
                <w:lang w:eastAsia="en-GB"/>
              </w:rPr>
              <w:t>80+</w:t>
            </w:r>
          </w:p>
        </w:tc>
        <w:tc>
          <w:tcPr>
            <w:tcW w:w="1978" w:type="dxa"/>
            <w:hideMark/>
          </w:tcPr>
          <w:p w14:paraId="1A910E0A" w14:textId="77777777" w:rsidR="00CD068F" w:rsidRPr="00CD068F" w:rsidRDefault="00CD068F" w:rsidP="00CD068F">
            <w:pPr>
              <w:jc w:val="right"/>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166</w:t>
            </w:r>
          </w:p>
        </w:tc>
        <w:tc>
          <w:tcPr>
            <w:tcW w:w="1843" w:type="dxa"/>
            <w:hideMark/>
          </w:tcPr>
          <w:p w14:paraId="1A910E0B" w14:textId="77777777" w:rsidR="00CD068F" w:rsidRPr="00CD068F" w:rsidRDefault="00CD068F" w:rsidP="00CD068F">
            <w:pPr>
              <w:jc w:val="right"/>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22.2%</w:t>
            </w:r>
          </w:p>
        </w:tc>
        <w:tc>
          <w:tcPr>
            <w:tcW w:w="1936" w:type="dxa"/>
            <w:hideMark/>
          </w:tcPr>
          <w:p w14:paraId="1A910E0C" w14:textId="77777777" w:rsidR="00CD068F" w:rsidRPr="00CD068F" w:rsidRDefault="00CD068F" w:rsidP="00CD068F">
            <w:pPr>
              <w:jc w:val="right"/>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CD068F">
              <w:rPr>
                <w:rFonts w:ascii="Calibri" w:eastAsia="Times New Roman" w:hAnsi="Calibri" w:cs="Arial"/>
                <w:color w:val="000000" w:themeColor="dark1"/>
                <w:kern w:val="24"/>
                <w:lang w:eastAsia="en-GB"/>
              </w:rPr>
              <w:t>1395</w:t>
            </w:r>
          </w:p>
        </w:tc>
      </w:tr>
      <w:tr w:rsidR="00CD068F" w:rsidRPr="00CD068F" w14:paraId="1A910E12" w14:textId="77777777" w:rsidTr="00C7286F">
        <w:trPr>
          <w:trHeight w:val="364"/>
        </w:trPr>
        <w:tc>
          <w:tcPr>
            <w:cnfStyle w:val="001000000000" w:firstRow="0" w:lastRow="0" w:firstColumn="1" w:lastColumn="0" w:oddVBand="0" w:evenVBand="0" w:oddHBand="0" w:evenHBand="0" w:firstRowFirstColumn="0" w:firstRowLastColumn="0" w:lastRowFirstColumn="0" w:lastRowLastColumn="0"/>
            <w:tcW w:w="1014" w:type="dxa"/>
          </w:tcPr>
          <w:p w14:paraId="1A910E0E" w14:textId="77777777" w:rsidR="00CD068F" w:rsidRPr="00CD068F" w:rsidRDefault="00CD068F" w:rsidP="00CD068F">
            <w:pPr>
              <w:textAlignment w:val="bottom"/>
              <w:rPr>
                <w:rFonts w:ascii="Arial" w:eastAsia="Times New Roman" w:hAnsi="Arial" w:cs="Arial"/>
                <w:lang w:eastAsia="en-GB"/>
              </w:rPr>
            </w:pPr>
          </w:p>
        </w:tc>
        <w:tc>
          <w:tcPr>
            <w:tcW w:w="1978" w:type="dxa"/>
          </w:tcPr>
          <w:p w14:paraId="1A910E0F" w14:textId="77777777" w:rsidR="00CD068F" w:rsidRPr="00CD068F" w:rsidRDefault="00CD068F" w:rsidP="00CD068F">
            <w:pPr>
              <w:jc w:val="right"/>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1843" w:type="dxa"/>
          </w:tcPr>
          <w:p w14:paraId="1A910E10" w14:textId="77777777" w:rsidR="00CD068F" w:rsidRPr="00CD068F" w:rsidRDefault="00CD068F" w:rsidP="00CD068F">
            <w:pP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1936" w:type="dxa"/>
          </w:tcPr>
          <w:p w14:paraId="1A910E11" w14:textId="77777777" w:rsidR="00CD068F" w:rsidRPr="00CD068F" w:rsidRDefault="00CD068F" w:rsidP="00C8610B">
            <w:pPr>
              <w:keepNext/>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bl>
    <w:p w14:paraId="1A910E13" w14:textId="77777777" w:rsidR="00C7286F" w:rsidRDefault="00C8610B" w:rsidP="000F271D">
      <w:pPr>
        <w:pStyle w:val="Caption"/>
      </w:pPr>
      <w:bookmarkStart w:id="6" w:name="_Ref43418123"/>
      <w:r>
        <w:t xml:space="preserve">Source  </w:t>
      </w:r>
      <w:r w:rsidR="00F00FD8">
        <w:fldChar w:fldCharType="begin"/>
      </w:r>
      <w:r w:rsidR="00F00FD8">
        <w:instrText xml:space="preserve"> SEQ Source_ \* ARABIC </w:instrText>
      </w:r>
      <w:r w:rsidR="00F00FD8">
        <w:fldChar w:fldCharType="separate"/>
      </w:r>
      <w:r w:rsidR="009248B4">
        <w:rPr>
          <w:noProof/>
        </w:rPr>
        <w:t>2</w:t>
      </w:r>
      <w:r w:rsidR="00F00FD8">
        <w:rPr>
          <w:noProof/>
        </w:rPr>
        <w:fldChar w:fldCharType="end"/>
      </w:r>
      <w:r w:rsidRPr="00C8610B">
        <w:t xml:space="preserve"> COVID-19 cases data by </w:t>
      </w:r>
      <w:proofErr w:type="gramStart"/>
      <w:r w:rsidRPr="00C8610B">
        <w:t>Postcode ,</w:t>
      </w:r>
      <w:proofErr w:type="gramEnd"/>
      <w:r w:rsidRPr="00C8610B">
        <w:t xml:space="preserve"> Public Health England</w:t>
      </w:r>
      <w:bookmarkEnd w:id="6"/>
    </w:p>
    <w:p w14:paraId="1A910E14" w14:textId="77777777" w:rsidR="000F271D" w:rsidRDefault="000F271D" w:rsidP="000F271D"/>
    <w:p w14:paraId="1A910E15" w14:textId="77777777" w:rsidR="000F271D" w:rsidRPr="000F271D" w:rsidRDefault="000F271D" w:rsidP="000F271D"/>
    <w:p w14:paraId="1A910E16" w14:textId="77777777" w:rsidR="00E82F0F" w:rsidRDefault="00E82F0F" w:rsidP="000F271D">
      <w:pPr>
        <w:pStyle w:val="Caption"/>
      </w:pPr>
      <w:r>
        <w:t xml:space="preserve">Figure </w:t>
      </w:r>
      <w:fldSimple w:instr=" SEQ Figure \* ARABIC ">
        <w:r w:rsidR="00721ABB">
          <w:rPr>
            <w:noProof/>
          </w:rPr>
          <w:t>7</w:t>
        </w:r>
      </w:fldSimple>
      <w:r w:rsidRPr="00E82F0F">
        <w:t xml:space="preserve"> Rate of lab-confirmed COVID-19 </w:t>
      </w:r>
      <w:proofErr w:type="gramStart"/>
      <w:r w:rsidRPr="00E82F0F">
        <w:t>cases  by</w:t>
      </w:r>
      <w:proofErr w:type="gramEnd"/>
      <w:r w:rsidRPr="00E82F0F">
        <w:t xml:space="preserve"> age in Harrow, per 100,000  </w:t>
      </w:r>
    </w:p>
    <w:p w14:paraId="1A910E17" w14:textId="77777777" w:rsidR="00E82F0F" w:rsidRDefault="00E82F0F" w:rsidP="00C7286F">
      <w:pPr>
        <w:rPr>
          <w:rFonts w:ascii="Trebuchet MS" w:eastAsia="Calibri" w:hAnsi="Trebuchet MS" w:cs="Arial"/>
          <w:b/>
          <w:color w:val="4F81BD" w:themeColor="accent1"/>
        </w:rPr>
      </w:pPr>
      <w:r>
        <w:rPr>
          <w:rFonts w:ascii="Trebuchet MS" w:eastAsia="Calibri" w:hAnsi="Trebuchet MS" w:cs="Arial"/>
          <w:b/>
          <w:noProof/>
          <w:color w:val="4F81BD" w:themeColor="accent1"/>
          <w:lang w:eastAsia="en-GB"/>
        </w:rPr>
        <w:drawing>
          <wp:inline distT="0" distB="0" distL="0" distR="0" wp14:anchorId="1A910F64" wp14:editId="1A910F65">
            <wp:extent cx="4048125" cy="263398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8125" cy="2633980"/>
                    </a:xfrm>
                    <a:prstGeom prst="rect">
                      <a:avLst/>
                    </a:prstGeom>
                    <a:noFill/>
                  </pic:spPr>
                </pic:pic>
              </a:graphicData>
            </a:graphic>
          </wp:inline>
        </w:drawing>
      </w:r>
    </w:p>
    <w:p w14:paraId="1A910E18" w14:textId="77777777" w:rsidR="00C7286F" w:rsidRDefault="00E82F0F" w:rsidP="000F271D">
      <w:pPr>
        <w:pStyle w:val="Caption"/>
        <w:rPr>
          <w:rFonts w:ascii="Trebuchet MS" w:eastAsia="Calibri" w:hAnsi="Trebuchet MS" w:cs="Arial"/>
        </w:rPr>
      </w:pPr>
      <w:r>
        <w:rPr>
          <w:rFonts w:ascii="Trebuchet MS" w:eastAsia="Calibri" w:hAnsi="Trebuchet MS" w:cs="Arial"/>
        </w:rPr>
        <w:fldChar w:fldCharType="begin"/>
      </w:r>
      <w:r>
        <w:rPr>
          <w:rFonts w:ascii="Trebuchet MS" w:eastAsia="Calibri" w:hAnsi="Trebuchet MS" w:cs="Arial"/>
        </w:rPr>
        <w:instrText xml:space="preserve"> REF _Ref43418123 \h  \* MERGEFORMAT </w:instrText>
      </w:r>
      <w:r>
        <w:rPr>
          <w:rFonts w:ascii="Trebuchet MS" w:eastAsia="Calibri" w:hAnsi="Trebuchet MS" w:cs="Arial"/>
        </w:rPr>
      </w:r>
      <w:r>
        <w:rPr>
          <w:rFonts w:ascii="Trebuchet MS" w:eastAsia="Calibri" w:hAnsi="Trebuchet MS" w:cs="Arial"/>
        </w:rPr>
        <w:fldChar w:fldCharType="separate"/>
      </w:r>
      <w:proofErr w:type="gramStart"/>
      <w:r>
        <w:t xml:space="preserve">Source  </w:t>
      </w:r>
      <w:r>
        <w:rPr>
          <w:noProof/>
        </w:rPr>
        <w:t>2</w:t>
      </w:r>
      <w:proofErr w:type="gramEnd"/>
      <w:r w:rsidRPr="00C8610B">
        <w:t xml:space="preserve"> COVID-19 cases data by Postcode , Public Health England</w:t>
      </w:r>
      <w:r>
        <w:rPr>
          <w:rFonts w:ascii="Trebuchet MS" w:eastAsia="Calibri" w:hAnsi="Trebuchet MS" w:cs="Arial"/>
        </w:rPr>
        <w:fldChar w:fldCharType="end"/>
      </w:r>
    </w:p>
    <w:p w14:paraId="1A910E19" w14:textId="77777777" w:rsidR="00E82F0F" w:rsidRDefault="00E82F0F" w:rsidP="00E82F0F"/>
    <w:p w14:paraId="1A910E1A" w14:textId="77777777" w:rsidR="00E82F0F" w:rsidRDefault="00E82F0F" w:rsidP="00E82F0F"/>
    <w:p w14:paraId="1A910E1B" w14:textId="77777777" w:rsidR="00E82F0F" w:rsidRDefault="00E82F0F" w:rsidP="00E82F0F"/>
    <w:p w14:paraId="1A910E1C" w14:textId="77777777" w:rsidR="00E82F0F" w:rsidRDefault="00E82F0F" w:rsidP="00E82F0F"/>
    <w:p w14:paraId="1A910E1D" w14:textId="77777777" w:rsidR="00E82F0F" w:rsidRDefault="00E82F0F" w:rsidP="00E82F0F"/>
    <w:p w14:paraId="1A910E1E" w14:textId="77777777" w:rsidR="00E82F0F" w:rsidRDefault="00E82F0F" w:rsidP="00E82F0F"/>
    <w:p w14:paraId="1A910E1F" w14:textId="77777777" w:rsidR="000F271D" w:rsidRDefault="000F271D" w:rsidP="00E82F0F"/>
    <w:p w14:paraId="1A910E20" w14:textId="77777777" w:rsidR="00E82F0F" w:rsidRDefault="00E82F0F" w:rsidP="00E82F0F"/>
    <w:p w14:paraId="1A910E21" w14:textId="77777777" w:rsidR="00E82F0F" w:rsidRPr="00E82F0F" w:rsidRDefault="00E82F0F" w:rsidP="00E82F0F">
      <w:pPr>
        <w:sectPr w:rsidR="00E82F0F" w:rsidRPr="00E82F0F" w:rsidSect="00406F30">
          <w:type w:val="continuous"/>
          <w:pgSz w:w="16838" w:h="11906" w:orient="landscape"/>
          <w:pgMar w:top="1440" w:right="1440" w:bottom="1440" w:left="1440" w:header="708" w:footer="708" w:gutter="0"/>
          <w:cols w:num="2" w:space="708"/>
          <w:docGrid w:linePitch="360"/>
        </w:sectPr>
      </w:pPr>
    </w:p>
    <w:p w14:paraId="1A910E22" w14:textId="77777777" w:rsidR="00C579B8" w:rsidRPr="00C579B8" w:rsidRDefault="00C579B8" w:rsidP="00C579B8">
      <w:pPr>
        <w:rPr>
          <w:rFonts w:ascii="Trebuchet MS" w:eastAsia="Calibri" w:hAnsi="Trebuchet MS" w:cs="Arial"/>
          <w:b/>
          <w:color w:val="4F81BD" w:themeColor="accent1"/>
          <w:szCs w:val="24"/>
        </w:rPr>
      </w:pPr>
      <w:r>
        <w:rPr>
          <w:rFonts w:ascii="Trebuchet MS" w:eastAsia="Calibri" w:hAnsi="Trebuchet MS" w:cs="Arial"/>
          <w:b/>
          <w:color w:val="4F81BD" w:themeColor="accent1"/>
          <w:szCs w:val="24"/>
        </w:rPr>
        <w:lastRenderedPageBreak/>
        <w:t xml:space="preserve">Mortality related to COVID-19 </w:t>
      </w:r>
      <w:r w:rsidRPr="00C579B8">
        <w:rPr>
          <w:rFonts w:ascii="Trebuchet MS" w:eastAsia="Calibri" w:hAnsi="Trebuchet MS" w:cs="Arial"/>
          <w:b/>
          <w:color w:val="4F81BD" w:themeColor="accent1"/>
          <w:szCs w:val="24"/>
        </w:rPr>
        <w:t xml:space="preserve"> </w:t>
      </w:r>
    </w:p>
    <w:p w14:paraId="1A910E23" w14:textId="77777777" w:rsidR="00C06AD7" w:rsidRDefault="00D37284" w:rsidP="00817E72">
      <w:pPr>
        <w:rPr>
          <w:rFonts w:eastAsiaTheme="minorEastAsia" w:hAnsi="Calibri"/>
          <w:color w:val="000000" w:themeColor="text1"/>
          <w:kern w:val="24"/>
          <w:szCs w:val="24"/>
        </w:rPr>
      </w:pPr>
      <w:r>
        <w:rPr>
          <w:rFonts w:eastAsiaTheme="minorEastAsia" w:hAnsi="Calibri"/>
          <w:color w:val="000000" w:themeColor="text1"/>
          <w:kern w:val="24"/>
          <w:szCs w:val="24"/>
        </w:rPr>
        <w:t>Between January 1</w:t>
      </w:r>
      <w:r w:rsidRPr="00D37284">
        <w:rPr>
          <w:rFonts w:eastAsiaTheme="minorEastAsia" w:hAnsi="Calibri"/>
          <w:color w:val="000000" w:themeColor="text1"/>
          <w:kern w:val="24"/>
          <w:szCs w:val="24"/>
          <w:vertAlign w:val="superscript"/>
        </w:rPr>
        <w:t>st</w:t>
      </w:r>
      <w:r>
        <w:rPr>
          <w:rFonts w:eastAsiaTheme="minorEastAsia" w:hAnsi="Calibri"/>
          <w:color w:val="000000" w:themeColor="text1"/>
          <w:kern w:val="24"/>
          <w:szCs w:val="24"/>
        </w:rPr>
        <w:t xml:space="preserve"> and June 5</w:t>
      </w:r>
      <w:r w:rsidRPr="00D37284">
        <w:rPr>
          <w:rFonts w:eastAsiaTheme="minorEastAsia" w:hAnsi="Calibri"/>
          <w:color w:val="000000" w:themeColor="text1"/>
          <w:kern w:val="24"/>
          <w:szCs w:val="24"/>
          <w:vertAlign w:val="superscript"/>
        </w:rPr>
        <w:t>th</w:t>
      </w:r>
      <w:r>
        <w:rPr>
          <w:rFonts w:eastAsiaTheme="minorEastAsia" w:hAnsi="Calibri"/>
          <w:color w:val="000000" w:themeColor="text1"/>
          <w:kern w:val="24"/>
          <w:szCs w:val="24"/>
        </w:rPr>
        <w:t xml:space="preserve">, </w:t>
      </w:r>
      <w:r w:rsidRPr="00D37284">
        <w:rPr>
          <w:rFonts w:eastAsiaTheme="minorEastAsia" w:hAnsi="Calibri"/>
          <w:color w:val="000000" w:themeColor="text1"/>
          <w:kern w:val="24"/>
          <w:szCs w:val="24"/>
        </w:rPr>
        <w:t>1164</w:t>
      </w:r>
      <w:r>
        <w:rPr>
          <w:rFonts w:eastAsiaTheme="minorEastAsia" w:hAnsi="Calibri"/>
          <w:color w:val="000000" w:themeColor="text1"/>
          <w:kern w:val="24"/>
          <w:szCs w:val="24"/>
        </w:rPr>
        <w:t xml:space="preserve"> deaths have been registered for Harrow (registered up to June 16</w:t>
      </w:r>
      <w:r w:rsidRPr="00D37284">
        <w:rPr>
          <w:rFonts w:eastAsiaTheme="minorEastAsia" w:hAnsi="Calibri"/>
          <w:color w:val="000000" w:themeColor="text1"/>
          <w:kern w:val="24"/>
          <w:szCs w:val="24"/>
          <w:vertAlign w:val="superscript"/>
        </w:rPr>
        <w:t>th</w:t>
      </w:r>
      <w:r>
        <w:rPr>
          <w:rFonts w:eastAsiaTheme="minorEastAsia" w:hAnsi="Calibri"/>
          <w:color w:val="000000" w:themeColor="text1"/>
          <w:kern w:val="24"/>
          <w:szCs w:val="24"/>
        </w:rPr>
        <w:t xml:space="preserve">).  Of these, </w:t>
      </w:r>
      <w:r w:rsidRPr="00D37284">
        <w:rPr>
          <w:rFonts w:eastAsiaTheme="minorEastAsia" w:hAnsi="Calibri"/>
          <w:color w:val="000000" w:themeColor="text1"/>
          <w:kern w:val="24"/>
          <w:szCs w:val="24"/>
        </w:rPr>
        <w:t>391</w:t>
      </w:r>
      <w:r>
        <w:rPr>
          <w:rFonts w:eastAsiaTheme="minorEastAsia" w:hAnsi="Calibri"/>
          <w:color w:val="000000" w:themeColor="text1"/>
          <w:kern w:val="24"/>
          <w:szCs w:val="24"/>
        </w:rPr>
        <w:t xml:space="preserve"> mentioned C</w:t>
      </w:r>
      <w:r w:rsidR="0093400D">
        <w:rPr>
          <w:rFonts w:eastAsiaTheme="minorEastAsia" w:hAnsi="Calibri"/>
          <w:color w:val="000000" w:themeColor="text1"/>
          <w:kern w:val="24"/>
          <w:szCs w:val="24"/>
        </w:rPr>
        <w:t>OVID-19</w:t>
      </w:r>
      <w:r>
        <w:rPr>
          <w:rFonts w:eastAsiaTheme="minorEastAsia" w:hAnsi="Calibri"/>
          <w:color w:val="000000" w:themeColor="text1"/>
          <w:kern w:val="24"/>
          <w:szCs w:val="24"/>
        </w:rPr>
        <w:t xml:space="preserve"> on the death certificate.  Harrow had the fifth highest number of deaths from </w:t>
      </w:r>
      <w:r w:rsidR="0093400D">
        <w:rPr>
          <w:rFonts w:eastAsiaTheme="minorEastAsia" w:hAnsi="Calibri"/>
          <w:color w:val="000000" w:themeColor="text1"/>
          <w:kern w:val="24"/>
          <w:szCs w:val="24"/>
        </w:rPr>
        <w:t xml:space="preserve">COVID-19 </w:t>
      </w:r>
      <w:r>
        <w:rPr>
          <w:rFonts w:eastAsiaTheme="minorEastAsia" w:hAnsi="Calibri"/>
          <w:color w:val="000000" w:themeColor="text1"/>
          <w:kern w:val="24"/>
          <w:szCs w:val="24"/>
        </w:rPr>
        <w:t xml:space="preserve">in London, behind </w:t>
      </w:r>
      <w:r w:rsidRPr="00D37284">
        <w:rPr>
          <w:rFonts w:eastAsiaTheme="minorEastAsia" w:hAnsi="Calibri"/>
          <w:color w:val="000000" w:themeColor="text1"/>
          <w:kern w:val="24"/>
          <w:szCs w:val="24"/>
        </w:rPr>
        <w:t>Brent</w:t>
      </w:r>
      <w:r>
        <w:rPr>
          <w:rFonts w:eastAsiaTheme="minorEastAsia" w:hAnsi="Calibri"/>
          <w:color w:val="000000" w:themeColor="text1"/>
          <w:kern w:val="24"/>
          <w:szCs w:val="24"/>
        </w:rPr>
        <w:t xml:space="preserve">, </w:t>
      </w:r>
      <w:r w:rsidRPr="00D37284">
        <w:rPr>
          <w:rFonts w:eastAsiaTheme="minorEastAsia" w:hAnsi="Calibri"/>
          <w:color w:val="000000" w:themeColor="text1"/>
          <w:kern w:val="24"/>
          <w:szCs w:val="24"/>
        </w:rPr>
        <w:t>Croydon</w:t>
      </w:r>
      <w:r>
        <w:rPr>
          <w:rFonts w:eastAsiaTheme="minorEastAsia" w:hAnsi="Calibri"/>
          <w:color w:val="000000" w:themeColor="text1"/>
          <w:kern w:val="24"/>
          <w:szCs w:val="24"/>
        </w:rPr>
        <w:t xml:space="preserve">, </w:t>
      </w:r>
      <w:r w:rsidRPr="00D37284">
        <w:rPr>
          <w:rFonts w:eastAsiaTheme="minorEastAsia" w:hAnsi="Calibri"/>
          <w:color w:val="000000" w:themeColor="text1"/>
          <w:kern w:val="24"/>
          <w:szCs w:val="24"/>
        </w:rPr>
        <w:t>Barnet</w:t>
      </w:r>
      <w:r>
        <w:rPr>
          <w:rFonts w:eastAsiaTheme="minorEastAsia" w:hAnsi="Calibri"/>
          <w:color w:val="000000" w:themeColor="text1"/>
          <w:kern w:val="24"/>
          <w:szCs w:val="24"/>
        </w:rPr>
        <w:t xml:space="preserve"> and </w:t>
      </w:r>
      <w:r w:rsidRPr="00D37284">
        <w:rPr>
          <w:rFonts w:eastAsiaTheme="minorEastAsia" w:hAnsi="Calibri"/>
          <w:color w:val="000000" w:themeColor="text1"/>
          <w:kern w:val="24"/>
          <w:szCs w:val="24"/>
        </w:rPr>
        <w:t>Ealing</w:t>
      </w:r>
      <w:r>
        <w:rPr>
          <w:rFonts w:eastAsiaTheme="minorEastAsia" w:hAnsi="Calibri"/>
          <w:color w:val="000000" w:themeColor="text1"/>
          <w:kern w:val="24"/>
          <w:szCs w:val="24"/>
        </w:rPr>
        <w:t>.</w:t>
      </w:r>
    </w:p>
    <w:p w14:paraId="1A910E24" w14:textId="77777777" w:rsidR="00817E72" w:rsidRPr="00C579B8" w:rsidRDefault="0093400D" w:rsidP="00817E72">
      <w:pPr>
        <w:rPr>
          <w:rFonts w:eastAsiaTheme="minorEastAsia" w:hAnsi="Calibri"/>
          <w:color w:val="000000" w:themeColor="text1"/>
          <w:kern w:val="24"/>
          <w:szCs w:val="24"/>
        </w:rPr>
      </w:pPr>
      <w:r>
        <w:t xml:space="preserve">COVID-19 has been shown to disproportionately affect older people.  Harrow’s population structure differs from the London average in that there is a greater proportion of older people.  There are 57 residential and care homes in Harrow – a high number of compared to many </w:t>
      </w:r>
      <w:r w:rsidR="00394F75">
        <w:t xml:space="preserve">other </w:t>
      </w:r>
      <w:r>
        <w:t xml:space="preserve">boroughs.  Care home outbreaks have certainly contributed to the number of cases of COVID-19 in Harrow.  Older people are more likely to become more ill from COVID-19 and require admission to hospital.  </w:t>
      </w:r>
      <w:r w:rsidR="00817E72">
        <w:rPr>
          <w:rFonts w:eastAsiaTheme="minorEastAsia" w:hAnsi="Calibri"/>
          <w:color w:val="000000" w:themeColor="text1"/>
          <w:kern w:val="24"/>
          <w:szCs w:val="24"/>
        </w:rPr>
        <w:t>To allow us to compare the rates</w:t>
      </w:r>
      <w:r w:rsidR="00E82F0F">
        <w:rPr>
          <w:rFonts w:eastAsiaTheme="minorEastAsia" w:hAnsi="Calibri"/>
          <w:color w:val="000000" w:themeColor="text1"/>
          <w:kern w:val="24"/>
          <w:szCs w:val="24"/>
        </w:rPr>
        <w:t xml:space="preserve"> of deaths</w:t>
      </w:r>
      <w:r w:rsidR="00817E72">
        <w:rPr>
          <w:rFonts w:eastAsiaTheme="minorEastAsia" w:hAnsi="Calibri"/>
          <w:color w:val="000000" w:themeColor="text1"/>
          <w:kern w:val="24"/>
          <w:szCs w:val="24"/>
        </w:rPr>
        <w:t xml:space="preserve"> in different boroughs, we need to adjust</w:t>
      </w:r>
      <w:r w:rsidR="00C579B8" w:rsidRPr="00C579B8">
        <w:rPr>
          <w:rFonts w:eastAsiaTheme="minorEastAsia" w:hAnsi="Calibri"/>
          <w:color w:val="000000" w:themeColor="text1"/>
          <w:kern w:val="24"/>
          <w:szCs w:val="24"/>
        </w:rPr>
        <w:t xml:space="preserve"> for size and age structure of the population</w:t>
      </w:r>
      <w:r w:rsidR="00E82F0F">
        <w:rPr>
          <w:rFonts w:eastAsiaTheme="minorEastAsia" w:hAnsi="Calibri"/>
          <w:color w:val="000000" w:themeColor="text1"/>
          <w:kern w:val="24"/>
          <w:szCs w:val="24"/>
        </w:rPr>
        <w:t>.  T</w:t>
      </w:r>
      <w:r w:rsidR="00C579B8" w:rsidRPr="00C579B8">
        <w:rPr>
          <w:rFonts w:eastAsiaTheme="minorEastAsia" w:hAnsi="Calibri"/>
          <w:color w:val="000000" w:themeColor="text1"/>
          <w:kern w:val="24"/>
          <w:szCs w:val="24"/>
        </w:rPr>
        <w:t>here were 36.2 deaths involving COVID-19 per 100,000 people in England and Wales.</w:t>
      </w:r>
      <w:r w:rsidR="00817E72">
        <w:rPr>
          <w:rFonts w:eastAsiaTheme="minorEastAsia" w:hAnsi="Calibri"/>
          <w:color w:val="000000" w:themeColor="text1"/>
          <w:kern w:val="24"/>
          <w:szCs w:val="24"/>
        </w:rPr>
        <w:t xml:space="preserve"> </w:t>
      </w:r>
      <w:r w:rsidR="00CA6281">
        <w:rPr>
          <w:rFonts w:eastAsiaTheme="minorEastAsia" w:hAnsi="Calibri"/>
          <w:color w:val="000000" w:themeColor="text1"/>
          <w:kern w:val="24"/>
          <w:szCs w:val="24"/>
        </w:rPr>
        <w:t xml:space="preserve"> </w:t>
      </w:r>
      <w:r w:rsidR="00817E72" w:rsidRPr="00C579B8">
        <w:rPr>
          <w:rFonts w:eastAsiaTheme="minorEastAsia" w:hAnsi="Calibri"/>
          <w:color w:val="000000" w:themeColor="text1"/>
          <w:kern w:val="24"/>
          <w:szCs w:val="24"/>
        </w:rPr>
        <w:t xml:space="preserve">London had the highest age-standardised mortality rate </w:t>
      </w:r>
      <w:r w:rsidR="00817E72">
        <w:rPr>
          <w:rFonts w:eastAsiaTheme="minorEastAsia" w:hAnsi="Calibri"/>
          <w:color w:val="000000" w:themeColor="text1"/>
          <w:kern w:val="24"/>
          <w:szCs w:val="24"/>
        </w:rPr>
        <w:t xml:space="preserve">(ASMR) </w:t>
      </w:r>
      <w:r w:rsidR="00817E72" w:rsidRPr="00C579B8">
        <w:rPr>
          <w:rFonts w:eastAsiaTheme="minorEastAsia" w:hAnsi="Calibri"/>
          <w:color w:val="000000" w:themeColor="text1"/>
          <w:kern w:val="24"/>
          <w:szCs w:val="24"/>
        </w:rPr>
        <w:t>with 85.7 deaths per 100,000 persons involving COVID-19</w:t>
      </w:r>
      <w:r w:rsidR="00C06AD7">
        <w:rPr>
          <w:rFonts w:eastAsiaTheme="minorEastAsia" w:hAnsi="Calibri"/>
          <w:color w:val="000000" w:themeColor="text1"/>
          <w:kern w:val="24"/>
          <w:szCs w:val="24"/>
        </w:rPr>
        <w:t xml:space="preserve"> </w:t>
      </w:r>
      <w:r w:rsidR="00817E72" w:rsidRPr="00C579B8">
        <w:rPr>
          <w:rFonts w:eastAsiaTheme="minorEastAsia" w:hAnsi="Calibri"/>
          <w:color w:val="000000" w:themeColor="text1"/>
          <w:kern w:val="24"/>
          <w:szCs w:val="24"/>
        </w:rPr>
        <w:t>almost double the next highest rate.</w:t>
      </w:r>
    </w:p>
    <w:p w14:paraId="1A910E25" w14:textId="77777777" w:rsidR="0093400D" w:rsidRDefault="00817E72" w:rsidP="0093400D">
      <w:pPr>
        <w:rPr>
          <w:rFonts w:eastAsiaTheme="minorEastAsia" w:hAnsi="Calibri"/>
          <w:color w:val="000000" w:themeColor="text1"/>
          <w:kern w:val="24"/>
          <w:szCs w:val="24"/>
        </w:rPr>
      </w:pPr>
      <w:r w:rsidRPr="00C579B8">
        <w:rPr>
          <w:rFonts w:eastAsiaTheme="minorEastAsia" w:hAnsi="Calibri"/>
          <w:color w:val="000000" w:themeColor="text1"/>
          <w:kern w:val="24"/>
          <w:szCs w:val="24"/>
        </w:rPr>
        <w:t xml:space="preserve">The local authorities with the highest </w:t>
      </w:r>
      <w:r>
        <w:rPr>
          <w:rFonts w:eastAsiaTheme="minorEastAsia" w:hAnsi="Calibri"/>
          <w:color w:val="000000" w:themeColor="text1"/>
          <w:kern w:val="24"/>
          <w:szCs w:val="24"/>
        </w:rPr>
        <w:t>ASMR</w:t>
      </w:r>
      <w:r w:rsidRPr="00C579B8">
        <w:rPr>
          <w:rFonts w:eastAsiaTheme="minorEastAsia" w:hAnsi="Calibri"/>
          <w:color w:val="000000" w:themeColor="text1"/>
          <w:kern w:val="24"/>
          <w:szCs w:val="24"/>
        </w:rPr>
        <w:t xml:space="preserve"> for deaths involving COVID-19 were all London Boroughs; Newham 144.3</w:t>
      </w:r>
      <w:r>
        <w:rPr>
          <w:rFonts w:eastAsiaTheme="minorEastAsia" w:hAnsi="Calibri"/>
          <w:color w:val="000000" w:themeColor="text1"/>
          <w:kern w:val="24"/>
          <w:szCs w:val="24"/>
        </w:rPr>
        <w:t>;</w:t>
      </w:r>
      <w:r w:rsidRPr="00C579B8">
        <w:rPr>
          <w:rFonts w:eastAsiaTheme="minorEastAsia" w:hAnsi="Calibri"/>
          <w:color w:val="000000" w:themeColor="text1"/>
          <w:kern w:val="24"/>
          <w:szCs w:val="24"/>
        </w:rPr>
        <w:t xml:space="preserve"> </w:t>
      </w:r>
      <w:proofErr w:type="gramStart"/>
      <w:r w:rsidRPr="00C579B8">
        <w:rPr>
          <w:rFonts w:eastAsiaTheme="minorEastAsia" w:hAnsi="Calibri"/>
          <w:color w:val="000000" w:themeColor="text1"/>
          <w:kern w:val="24"/>
          <w:szCs w:val="24"/>
        </w:rPr>
        <w:t xml:space="preserve">Brent </w:t>
      </w:r>
      <w:r>
        <w:rPr>
          <w:rFonts w:eastAsiaTheme="minorEastAsia" w:hAnsi="Calibri"/>
          <w:color w:val="000000" w:themeColor="text1"/>
          <w:kern w:val="24"/>
          <w:szCs w:val="24"/>
        </w:rPr>
        <w:t xml:space="preserve"> </w:t>
      </w:r>
      <w:r w:rsidRPr="00C579B8">
        <w:rPr>
          <w:rFonts w:eastAsiaTheme="minorEastAsia" w:hAnsi="Calibri"/>
          <w:color w:val="000000" w:themeColor="text1"/>
          <w:kern w:val="24"/>
          <w:szCs w:val="24"/>
        </w:rPr>
        <w:t>141.5</w:t>
      </w:r>
      <w:proofErr w:type="gramEnd"/>
      <w:r w:rsidRPr="00C579B8">
        <w:rPr>
          <w:rFonts w:eastAsiaTheme="minorEastAsia" w:hAnsi="Calibri"/>
          <w:color w:val="000000" w:themeColor="text1"/>
          <w:kern w:val="24"/>
          <w:szCs w:val="24"/>
        </w:rPr>
        <w:t xml:space="preserve"> and Hackney 127.4.</w:t>
      </w:r>
      <w:r>
        <w:rPr>
          <w:rFonts w:eastAsiaTheme="minorEastAsia" w:hAnsi="Calibri"/>
          <w:color w:val="000000" w:themeColor="text1"/>
          <w:kern w:val="24"/>
          <w:szCs w:val="24"/>
        </w:rPr>
        <w:t xml:space="preserve"> Harrow’s ASMR was 114.</w:t>
      </w:r>
      <w:r w:rsidR="0093400D">
        <w:rPr>
          <w:rFonts w:eastAsiaTheme="minorEastAsia" w:hAnsi="Calibri"/>
          <w:color w:val="000000" w:themeColor="text1"/>
          <w:kern w:val="24"/>
          <w:szCs w:val="24"/>
        </w:rPr>
        <w:t>7, the</w:t>
      </w:r>
      <w:r>
        <w:rPr>
          <w:rFonts w:eastAsiaTheme="minorEastAsia" w:hAnsi="Calibri"/>
          <w:color w:val="000000" w:themeColor="text1"/>
          <w:kern w:val="24"/>
          <w:szCs w:val="24"/>
        </w:rPr>
        <w:t xml:space="preserve"> 6</w:t>
      </w:r>
      <w:r w:rsidRPr="00C579B8">
        <w:rPr>
          <w:rFonts w:eastAsiaTheme="minorEastAsia" w:hAnsi="Calibri"/>
          <w:color w:val="000000" w:themeColor="text1"/>
          <w:kern w:val="24"/>
          <w:szCs w:val="24"/>
          <w:vertAlign w:val="superscript"/>
        </w:rPr>
        <w:t>th</w:t>
      </w:r>
      <w:r>
        <w:rPr>
          <w:rFonts w:eastAsiaTheme="minorEastAsia" w:hAnsi="Calibri"/>
          <w:color w:val="000000" w:themeColor="text1"/>
          <w:kern w:val="24"/>
          <w:szCs w:val="24"/>
        </w:rPr>
        <w:t xml:space="preserve"> highest amongst all the London boroughs. </w:t>
      </w:r>
    </w:p>
    <w:p w14:paraId="1A910E26" w14:textId="77777777" w:rsidR="00C06AD7" w:rsidRDefault="00C06AD7" w:rsidP="000F271D">
      <w:pPr>
        <w:pStyle w:val="Caption"/>
      </w:pPr>
      <w:r>
        <w:t xml:space="preserve">Figure </w:t>
      </w:r>
      <w:fldSimple w:instr=" SEQ Figure \* ARABIC ">
        <w:r w:rsidR="00721ABB">
          <w:rPr>
            <w:noProof/>
          </w:rPr>
          <w:t>8</w:t>
        </w:r>
      </w:fldSimple>
      <w:r>
        <w:t xml:space="preserve"> Rate of COVID-19 related mortality by London Boroughs</w:t>
      </w:r>
    </w:p>
    <w:p w14:paraId="1A910E27" w14:textId="77777777" w:rsidR="00C06AD7" w:rsidRDefault="00C06AD7" w:rsidP="00C06AD7">
      <w:pPr>
        <w:keepNext/>
      </w:pPr>
      <w:r>
        <w:rPr>
          <w:rFonts w:eastAsiaTheme="minorEastAsia" w:hAnsi="Calibri"/>
          <w:noProof/>
          <w:color w:val="000000" w:themeColor="text1"/>
          <w:kern w:val="24"/>
          <w:szCs w:val="24"/>
          <w:lang w:eastAsia="en-GB"/>
        </w:rPr>
        <w:drawing>
          <wp:inline distT="0" distB="0" distL="0" distR="0" wp14:anchorId="1A910F66" wp14:editId="1A910F67">
            <wp:extent cx="4029075" cy="46817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9075" cy="4681737"/>
                    </a:xfrm>
                    <a:prstGeom prst="rect">
                      <a:avLst/>
                    </a:prstGeom>
                    <a:noFill/>
                  </pic:spPr>
                </pic:pic>
              </a:graphicData>
            </a:graphic>
          </wp:inline>
        </w:drawing>
      </w:r>
    </w:p>
    <w:p w14:paraId="1A910E28" w14:textId="77777777" w:rsidR="00C06AD7" w:rsidRDefault="00C06AD7" w:rsidP="000F271D">
      <w:pPr>
        <w:pStyle w:val="Caption"/>
        <w:rPr>
          <w:rFonts w:eastAsiaTheme="minorEastAsia" w:hAnsi="Calibri"/>
          <w:color w:val="000000" w:themeColor="text1"/>
          <w:kern w:val="24"/>
          <w:szCs w:val="24"/>
        </w:rPr>
      </w:pPr>
      <w:r>
        <w:t xml:space="preserve">Source  </w:t>
      </w:r>
      <w:r w:rsidR="00F00FD8">
        <w:fldChar w:fldCharType="begin"/>
      </w:r>
      <w:r w:rsidR="00F00FD8">
        <w:instrText xml:space="preserve"> SEQ Source_ \* ARABIC </w:instrText>
      </w:r>
      <w:r w:rsidR="00F00FD8">
        <w:fldChar w:fldCharType="separate"/>
      </w:r>
      <w:r w:rsidR="009248B4">
        <w:rPr>
          <w:noProof/>
        </w:rPr>
        <w:t>3</w:t>
      </w:r>
      <w:r w:rsidR="00F00FD8">
        <w:rPr>
          <w:noProof/>
        </w:rPr>
        <w:fldChar w:fldCharType="end"/>
      </w:r>
      <w:r w:rsidRPr="00C06AD7">
        <w:rPr>
          <w:rFonts w:eastAsiaTheme="minorEastAsia" w:hAnsi="Calibri"/>
          <w:i/>
          <w:color w:val="000000" w:themeColor="text1"/>
          <w:kern w:val="24"/>
          <w:szCs w:val="24"/>
        </w:rPr>
        <w:t xml:space="preserve"> </w:t>
      </w:r>
      <w:r w:rsidRPr="00C06AD7">
        <w:t>ONS 2020, accessed June 15th</w:t>
      </w:r>
      <w:proofErr w:type="gramStart"/>
      <w:r w:rsidRPr="00C06AD7">
        <w:t xml:space="preserve"> 2020</w:t>
      </w:r>
      <w:proofErr w:type="gramEnd"/>
    </w:p>
    <w:p w14:paraId="1A910E29" w14:textId="77777777" w:rsidR="0093400D" w:rsidRDefault="0093400D" w:rsidP="00C8610B">
      <w:pPr>
        <w:rPr>
          <w:rFonts w:eastAsiaTheme="minorEastAsia" w:hAnsi="Calibri"/>
          <w:color w:val="000000" w:themeColor="text1"/>
          <w:kern w:val="24"/>
          <w:szCs w:val="24"/>
        </w:rPr>
      </w:pPr>
    </w:p>
    <w:p w14:paraId="1A910E2A" w14:textId="77777777" w:rsidR="000F271D" w:rsidRDefault="000F271D" w:rsidP="00C8610B">
      <w:pPr>
        <w:rPr>
          <w:rFonts w:eastAsiaTheme="minorEastAsia" w:hAnsi="Calibri"/>
          <w:color w:val="000000" w:themeColor="text1"/>
          <w:kern w:val="24"/>
          <w:szCs w:val="24"/>
        </w:rPr>
      </w:pPr>
    </w:p>
    <w:p w14:paraId="1A910E2B" w14:textId="77777777" w:rsidR="002B20EE" w:rsidRPr="002B20EE" w:rsidRDefault="00B1518A" w:rsidP="00C579B8">
      <w:pPr>
        <w:rPr>
          <w:rFonts w:ascii="Trebuchet MS" w:eastAsia="Calibri" w:hAnsi="Trebuchet MS" w:cs="Arial"/>
          <w:b/>
          <w:color w:val="4F81BD" w:themeColor="accent1"/>
          <w:szCs w:val="24"/>
        </w:rPr>
      </w:pPr>
      <w:r>
        <w:rPr>
          <w:rFonts w:ascii="Trebuchet MS" w:eastAsia="Calibri" w:hAnsi="Trebuchet MS" w:cs="Arial"/>
          <w:b/>
          <w:color w:val="4F81BD" w:themeColor="accent1"/>
          <w:szCs w:val="24"/>
        </w:rPr>
        <w:lastRenderedPageBreak/>
        <w:t xml:space="preserve">Patterns of </w:t>
      </w:r>
      <w:r w:rsidR="000C1152">
        <w:rPr>
          <w:rFonts w:ascii="Trebuchet MS" w:eastAsia="Calibri" w:hAnsi="Trebuchet MS" w:cs="Arial"/>
          <w:b/>
          <w:color w:val="4F81BD" w:themeColor="accent1"/>
          <w:szCs w:val="24"/>
        </w:rPr>
        <w:t>COVID-19 and Non-COVID-19 Deaths</w:t>
      </w:r>
    </w:p>
    <w:p w14:paraId="1A910E2C" w14:textId="77777777" w:rsidR="00157A36" w:rsidRDefault="007B2AC4" w:rsidP="00157A36">
      <w:pPr>
        <w:rPr>
          <w:rFonts w:eastAsiaTheme="minorEastAsia" w:hAnsi="Calibri"/>
          <w:color w:val="000000" w:themeColor="text1"/>
          <w:kern w:val="24"/>
          <w:szCs w:val="24"/>
        </w:rPr>
      </w:pPr>
      <w:r>
        <w:rPr>
          <w:rFonts w:eastAsiaTheme="minorEastAsia" w:hAnsi="Calibri"/>
          <w:color w:val="000000" w:themeColor="text1"/>
          <w:kern w:val="24"/>
          <w:szCs w:val="24"/>
        </w:rPr>
        <w:t>Each year, the number of deaths occurring in the population varies with the season.  Deaths in winter are higher than at other times of the year</w:t>
      </w:r>
      <w:r w:rsidR="000C1152">
        <w:rPr>
          <w:rFonts w:eastAsiaTheme="minorEastAsia" w:hAnsi="Calibri"/>
          <w:color w:val="000000" w:themeColor="text1"/>
          <w:kern w:val="24"/>
          <w:szCs w:val="24"/>
        </w:rPr>
        <w:t>.  T</w:t>
      </w:r>
      <w:r>
        <w:rPr>
          <w:rFonts w:eastAsiaTheme="minorEastAsia" w:hAnsi="Calibri"/>
          <w:color w:val="000000" w:themeColor="text1"/>
          <w:kern w:val="24"/>
          <w:szCs w:val="24"/>
        </w:rPr>
        <w:t xml:space="preserve">he </w:t>
      </w:r>
      <w:r w:rsidR="00973130">
        <w:rPr>
          <w:rFonts w:eastAsiaTheme="minorEastAsia" w:hAnsi="Calibri"/>
          <w:color w:val="000000" w:themeColor="text1"/>
          <w:kern w:val="24"/>
          <w:szCs w:val="24"/>
        </w:rPr>
        <w:t xml:space="preserve">number of </w:t>
      </w:r>
      <w:r>
        <w:rPr>
          <w:rFonts w:eastAsiaTheme="minorEastAsia" w:hAnsi="Calibri"/>
          <w:color w:val="000000" w:themeColor="text1"/>
          <w:kern w:val="24"/>
          <w:szCs w:val="24"/>
        </w:rPr>
        <w:t xml:space="preserve">additional deaths occurring </w:t>
      </w:r>
      <w:r w:rsidR="00973130">
        <w:rPr>
          <w:rFonts w:eastAsiaTheme="minorEastAsia" w:hAnsi="Calibri"/>
          <w:color w:val="000000" w:themeColor="text1"/>
          <w:kern w:val="24"/>
          <w:szCs w:val="24"/>
        </w:rPr>
        <w:t xml:space="preserve">in winter </w:t>
      </w:r>
      <w:r w:rsidR="000C1152">
        <w:rPr>
          <w:rFonts w:eastAsiaTheme="minorEastAsia" w:hAnsi="Calibri"/>
          <w:color w:val="000000" w:themeColor="text1"/>
          <w:kern w:val="24"/>
          <w:szCs w:val="24"/>
        </w:rPr>
        <w:t>each year varies depending on</w:t>
      </w:r>
      <w:r>
        <w:rPr>
          <w:rFonts w:eastAsiaTheme="minorEastAsia" w:hAnsi="Calibri"/>
          <w:color w:val="000000" w:themeColor="text1"/>
          <w:kern w:val="24"/>
          <w:szCs w:val="24"/>
        </w:rPr>
        <w:t xml:space="preserve"> coldness of the winter and by the amount of circulating influenza virus</w:t>
      </w:r>
      <w:r w:rsidR="000C1152">
        <w:rPr>
          <w:rFonts w:eastAsiaTheme="minorEastAsia" w:hAnsi="Calibri"/>
          <w:color w:val="000000" w:themeColor="text1"/>
          <w:kern w:val="24"/>
          <w:szCs w:val="24"/>
        </w:rPr>
        <w:t>- and the levels of vaccination against Influenza in the community</w:t>
      </w:r>
      <w:r>
        <w:rPr>
          <w:rFonts w:eastAsiaTheme="minorEastAsia" w:hAnsi="Calibri"/>
          <w:color w:val="000000" w:themeColor="text1"/>
          <w:kern w:val="24"/>
          <w:szCs w:val="24"/>
        </w:rPr>
        <w:t xml:space="preserve">.  </w:t>
      </w:r>
      <w:r w:rsidR="00AA492A">
        <w:rPr>
          <w:rFonts w:eastAsiaTheme="minorEastAsia" w:hAnsi="Calibri"/>
          <w:color w:val="000000" w:themeColor="text1"/>
          <w:kern w:val="24"/>
          <w:szCs w:val="24"/>
        </w:rPr>
        <w:t>There is a similar but smaller increase due to heat in summer in some years.</w:t>
      </w:r>
    </w:p>
    <w:p w14:paraId="1A910E2D" w14:textId="77777777" w:rsidR="00157A36" w:rsidRDefault="00157A36" w:rsidP="000F271D">
      <w:pPr>
        <w:pStyle w:val="Caption"/>
      </w:pPr>
      <w:bookmarkStart w:id="7" w:name="_Ref43560544"/>
      <w:r>
        <w:t xml:space="preserve">Figure </w:t>
      </w:r>
      <w:fldSimple w:instr=" SEQ Figure \* ARABIC ">
        <w:r w:rsidR="00721ABB">
          <w:rPr>
            <w:noProof/>
          </w:rPr>
          <w:t>9</w:t>
        </w:r>
      </w:fldSimple>
      <w:bookmarkEnd w:id="7"/>
      <w:r w:rsidRPr="00451969">
        <w:t xml:space="preserve"> Deaths by cause </w:t>
      </w:r>
      <w:r>
        <w:t>(</w:t>
      </w:r>
      <w:r w:rsidRPr="00451969">
        <w:t xml:space="preserve">registered up to </w:t>
      </w:r>
      <w:r>
        <w:t>5 June</w:t>
      </w:r>
      <w:r w:rsidRPr="00451969">
        <w:t xml:space="preserve"> 2020</w:t>
      </w:r>
      <w:r>
        <w:t>)</w:t>
      </w:r>
      <w:r w:rsidRPr="00451969">
        <w:t xml:space="preserve"> by week, Harrow</w:t>
      </w:r>
    </w:p>
    <w:p w14:paraId="1A910E2E" w14:textId="77777777" w:rsidR="00157A36" w:rsidRPr="002B20EE" w:rsidRDefault="00157A36" w:rsidP="00157A36">
      <w:pPr>
        <w:spacing w:after="0"/>
        <w:rPr>
          <w:rFonts w:eastAsiaTheme="minorEastAsia" w:hAnsi="Calibri"/>
          <w:color w:val="000000" w:themeColor="text1"/>
          <w:kern w:val="24"/>
          <w:szCs w:val="24"/>
        </w:rPr>
      </w:pPr>
      <w:r>
        <w:rPr>
          <w:rFonts w:ascii="Trebuchet MS" w:eastAsia="Calibri" w:hAnsi="Trebuchet MS" w:cs="Arial"/>
          <w:b/>
          <w:noProof/>
          <w:color w:val="4F81BD" w:themeColor="accent1"/>
          <w:lang w:eastAsia="en-GB"/>
        </w:rPr>
        <w:drawing>
          <wp:inline distT="0" distB="0" distL="0" distR="0" wp14:anchorId="1A910F68" wp14:editId="1A910F69">
            <wp:extent cx="3842217" cy="30956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9554" cy="3093479"/>
                    </a:xfrm>
                    <a:prstGeom prst="rect">
                      <a:avLst/>
                    </a:prstGeom>
                    <a:noFill/>
                  </pic:spPr>
                </pic:pic>
              </a:graphicData>
            </a:graphic>
          </wp:inline>
        </w:drawing>
      </w:r>
    </w:p>
    <w:p w14:paraId="1A910E2F" w14:textId="77777777" w:rsidR="00157A36" w:rsidRDefault="00157A36" w:rsidP="000F271D">
      <w:pPr>
        <w:pStyle w:val="Caption"/>
        <w:rPr>
          <w:rFonts w:eastAsiaTheme="minorEastAsia" w:hAnsi="Calibri"/>
          <w:color w:val="000000" w:themeColor="text1"/>
          <w:kern w:val="24"/>
          <w:szCs w:val="24"/>
        </w:rPr>
      </w:pPr>
      <w:r>
        <w:t xml:space="preserve">Source  </w:t>
      </w:r>
      <w:r w:rsidR="00F00FD8">
        <w:fldChar w:fldCharType="begin"/>
      </w:r>
      <w:r w:rsidR="00F00FD8">
        <w:instrText xml:space="preserve"> SEQ Source_ \* ARABIC </w:instrText>
      </w:r>
      <w:r w:rsidR="00F00FD8">
        <w:fldChar w:fldCharType="separate"/>
      </w:r>
      <w:r w:rsidR="009248B4">
        <w:rPr>
          <w:noProof/>
        </w:rPr>
        <w:t>4</w:t>
      </w:r>
      <w:r w:rsidR="00F00FD8">
        <w:rPr>
          <w:noProof/>
        </w:rPr>
        <w:fldChar w:fldCharType="end"/>
      </w:r>
      <w:r w:rsidRPr="00C06AD7">
        <w:rPr>
          <w:rFonts w:eastAsiaTheme="minorEastAsia" w:hAnsi="Calibri"/>
          <w:i/>
          <w:color w:val="000000" w:themeColor="text1"/>
          <w:kern w:val="24"/>
          <w:szCs w:val="24"/>
        </w:rPr>
        <w:t xml:space="preserve"> </w:t>
      </w:r>
      <w:r w:rsidRPr="00C06AD7">
        <w:t>ONS 2020, accessed June 15th</w:t>
      </w:r>
      <w:proofErr w:type="gramStart"/>
      <w:r w:rsidRPr="00C06AD7">
        <w:t xml:space="preserve"> 2020</w:t>
      </w:r>
      <w:proofErr w:type="gramEnd"/>
    </w:p>
    <w:p w14:paraId="1A910E30" w14:textId="77777777" w:rsidR="000F271D" w:rsidRDefault="000F271D" w:rsidP="00157A36">
      <w:pPr>
        <w:rPr>
          <w:rFonts w:eastAsiaTheme="minorEastAsia" w:hAnsi="Calibri"/>
          <w:kern w:val="24"/>
          <w:szCs w:val="24"/>
        </w:rPr>
      </w:pPr>
    </w:p>
    <w:p w14:paraId="1A910E31" w14:textId="77777777" w:rsidR="00157A36" w:rsidRPr="00AA492A" w:rsidRDefault="00157A36" w:rsidP="00157A36">
      <w:pPr>
        <w:rPr>
          <w:rFonts w:eastAsiaTheme="minorEastAsia" w:hAnsi="Calibri"/>
          <w:kern w:val="24"/>
          <w:szCs w:val="24"/>
        </w:rPr>
      </w:pPr>
      <w:r w:rsidRPr="00AA492A">
        <w:rPr>
          <w:rFonts w:eastAsiaTheme="minorEastAsia" w:hAnsi="Calibri"/>
          <w:kern w:val="24"/>
          <w:szCs w:val="24"/>
        </w:rPr>
        <w:fldChar w:fldCharType="begin"/>
      </w:r>
      <w:r w:rsidRPr="00AA492A">
        <w:rPr>
          <w:rFonts w:eastAsiaTheme="minorEastAsia" w:hAnsi="Calibri"/>
          <w:kern w:val="24"/>
          <w:szCs w:val="24"/>
        </w:rPr>
        <w:instrText xml:space="preserve"> REF _Ref43560544 \h </w:instrText>
      </w:r>
      <w:r w:rsidRPr="00AA492A">
        <w:rPr>
          <w:rFonts w:eastAsiaTheme="minorEastAsia" w:hAnsi="Calibri"/>
          <w:kern w:val="24"/>
          <w:szCs w:val="24"/>
        </w:rPr>
      </w:r>
      <w:r w:rsidRPr="00AA492A">
        <w:rPr>
          <w:rFonts w:eastAsiaTheme="minorEastAsia" w:hAnsi="Calibri"/>
          <w:kern w:val="24"/>
          <w:szCs w:val="24"/>
        </w:rPr>
        <w:fldChar w:fldCharType="separate"/>
      </w:r>
      <w:r w:rsidRPr="00AA492A">
        <w:t xml:space="preserve">Figure </w:t>
      </w:r>
      <w:r w:rsidRPr="00AA492A">
        <w:rPr>
          <w:noProof/>
        </w:rPr>
        <w:t>9</w:t>
      </w:r>
      <w:r w:rsidRPr="00AA492A">
        <w:rPr>
          <w:rFonts w:eastAsiaTheme="minorEastAsia" w:hAnsi="Calibri"/>
          <w:kern w:val="24"/>
          <w:szCs w:val="24"/>
        </w:rPr>
        <w:fldChar w:fldCharType="end"/>
      </w:r>
      <w:r w:rsidRPr="00AA492A">
        <w:rPr>
          <w:rFonts w:eastAsiaTheme="minorEastAsia" w:hAnsi="Calibri"/>
          <w:kern w:val="24"/>
          <w:szCs w:val="24"/>
        </w:rPr>
        <w:t xml:space="preserve"> shows the number of non-COVID-19 and COVID-19 related deaths by week from the start of the year.  </w:t>
      </w:r>
    </w:p>
    <w:p w14:paraId="1A910E32" w14:textId="77777777" w:rsidR="00157A36" w:rsidRPr="00AA492A" w:rsidRDefault="007B2AC4" w:rsidP="00157A36">
      <w:pPr>
        <w:rPr>
          <w:rFonts w:eastAsiaTheme="minorEastAsia" w:hAnsi="Calibri"/>
          <w:kern w:val="24"/>
          <w:szCs w:val="24"/>
        </w:rPr>
      </w:pPr>
      <w:r w:rsidRPr="00AA492A">
        <w:rPr>
          <w:rFonts w:eastAsiaTheme="minorEastAsia" w:hAnsi="Calibri"/>
          <w:kern w:val="24"/>
          <w:szCs w:val="24"/>
        </w:rPr>
        <w:t xml:space="preserve">The occurrence of the COVID-19 pandemic has of course affected this pattern.  The first COVID-19 deaths occurred </w:t>
      </w:r>
      <w:r w:rsidR="00B1518A" w:rsidRPr="00AA492A">
        <w:rPr>
          <w:rFonts w:eastAsiaTheme="minorEastAsia" w:hAnsi="Calibri"/>
          <w:kern w:val="24"/>
          <w:szCs w:val="24"/>
        </w:rPr>
        <w:t xml:space="preserve">in </w:t>
      </w:r>
      <w:proofErr w:type="spellStart"/>
      <w:r w:rsidR="00B1518A" w:rsidRPr="00AA492A">
        <w:rPr>
          <w:rFonts w:eastAsiaTheme="minorEastAsia" w:hAnsi="Calibri"/>
          <w:kern w:val="24"/>
          <w:szCs w:val="24"/>
        </w:rPr>
        <w:t>mid March</w:t>
      </w:r>
      <w:proofErr w:type="spellEnd"/>
      <w:r w:rsidR="00B1518A" w:rsidRPr="00AA492A">
        <w:rPr>
          <w:rFonts w:eastAsiaTheme="minorEastAsia" w:hAnsi="Calibri"/>
          <w:kern w:val="24"/>
          <w:szCs w:val="24"/>
        </w:rPr>
        <w:t xml:space="preserve"> </w:t>
      </w:r>
      <w:r w:rsidRPr="00AA492A">
        <w:rPr>
          <w:rFonts w:eastAsiaTheme="minorEastAsia" w:hAnsi="Calibri"/>
          <w:kern w:val="24"/>
          <w:szCs w:val="24"/>
        </w:rPr>
        <w:t xml:space="preserve">as the excess winter deaths had begun to decrease.  </w:t>
      </w:r>
    </w:p>
    <w:p w14:paraId="1A910E33" w14:textId="77777777" w:rsidR="00157A36" w:rsidRPr="00AA492A" w:rsidRDefault="00157A36" w:rsidP="00157A36">
      <w:pPr>
        <w:rPr>
          <w:rFonts w:eastAsiaTheme="minorEastAsia" w:hAnsi="Calibri"/>
          <w:kern w:val="24"/>
          <w:szCs w:val="24"/>
        </w:rPr>
      </w:pPr>
      <w:r w:rsidRPr="00AA492A">
        <w:rPr>
          <w:rFonts w:eastAsiaTheme="minorEastAsia" w:hAnsi="Calibri"/>
          <w:kern w:val="24"/>
          <w:szCs w:val="24"/>
        </w:rPr>
        <w:t xml:space="preserve">The majority of COVID-19 deaths in Harrow occurred in the </w:t>
      </w:r>
      <w:proofErr w:type="gramStart"/>
      <w:r w:rsidRPr="00AA492A">
        <w:rPr>
          <w:rFonts w:eastAsiaTheme="minorEastAsia" w:hAnsi="Calibri"/>
          <w:kern w:val="24"/>
          <w:szCs w:val="24"/>
        </w:rPr>
        <w:t>4 week</w:t>
      </w:r>
      <w:proofErr w:type="gramEnd"/>
      <w:r w:rsidRPr="00AA492A">
        <w:rPr>
          <w:rFonts w:eastAsiaTheme="minorEastAsia" w:hAnsi="Calibri"/>
          <w:kern w:val="24"/>
          <w:szCs w:val="24"/>
        </w:rPr>
        <w:t xml:space="preserve"> period from 30</w:t>
      </w:r>
      <w:r w:rsidRPr="00AA492A">
        <w:rPr>
          <w:rFonts w:eastAsiaTheme="minorEastAsia" w:hAnsi="Calibri"/>
          <w:kern w:val="24"/>
          <w:szCs w:val="24"/>
          <w:vertAlign w:val="superscript"/>
        </w:rPr>
        <w:t>th</w:t>
      </w:r>
      <w:r w:rsidRPr="00AA492A">
        <w:rPr>
          <w:rFonts w:eastAsiaTheme="minorEastAsia" w:hAnsi="Calibri"/>
          <w:kern w:val="24"/>
          <w:szCs w:val="24"/>
        </w:rPr>
        <w:t xml:space="preserve"> March to 26</w:t>
      </w:r>
      <w:r w:rsidRPr="00AA492A">
        <w:rPr>
          <w:rFonts w:eastAsiaTheme="minorEastAsia" w:hAnsi="Calibri"/>
          <w:kern w:val="24"/>
          <w:szCs w:val="24"/>
          <w:vertAlign w:val="superscript"/>
        </w:rPr>
        <w:t>th</w:t>
      </w:r>
      <w:r w:rsidRPr="00AA492A">
        <w:rPr>
          <w:rFonts w:eastAsiaTheme="minorEastAsia" w:hAnsi="Calibri"/>
          <w:kern w:val="24"/>
          <w:szCs w:val="24"/>
        </w:rPr>
        <w:t xml:space="preserve"> April.  </w:t>
      </w:r>
    </w:p>
    <w:p w14:paraId="1A910E34" w14:textId="77777777" w:rsidR="00157A36" w:rsidRPr="00AA492A" w:rsidRDefault="00157A36" w:rsidP="00157A36">
      <w:pPr>
        <w:rPr>
          <w:rFonts w:eastAsiaTheme="minorEastAsia" w:hAnsi="Calibri"/>
          <w:kern w:val="24"/>
          <w:szCs w:val="24"/>
        </w:rPr>
      </w:pPr>
      <w:r w:rsidRPr="00AA492A">
        <w:rPr>
          <w:rFonts w:eastAsiaTheme="minorEastAsia" w:hAnsi="Calibri"/>
          <w:kern w:val="24"/>
          <w:szCs w:val="24"/>
        </w:rPr>
        <w:t xml:space="preserve">We can also see that in addition to the COVID-19 deaths, the number of non-COVID-19 related deaths also increased in this period to levels greater than the seasonal norm.  This shows that the pandemic not only had an impact through deaths from COVID-19 but also impacted on people dying from other causes.  </w:t>
      </w:r>
    </w:p>
    <w:p w14:paraId="1A910E35" w14:textId="77777777" w:rsidR="00157A36" w:rsidRPr="00AA492A" w:rsidRDefault="00B1518A" w:rsidP="00107A7F">
      <w:pPr>
        <w:rPr>
          <w:szCs w:val="24"/>
          <w:lang w:val="en"/>
        </w:rPr>
      </w:pPr>
      <w:r w:rsidRPr="00AA492A">
        <w:rPr>
          <w:szCs w:val="24"/>
          <w:lang w:val="en"/>
        </w:rPr>
        <w:t xml:space="preserve">The number of excess deaths is a better measure of the pandemic’s overall impact on mortality than simply looking at the number of COVID-19 deaths.  In addition to the deaths from or related to COVID- 19, other deaths occur which may be due to delays in </w:t>
      </w:r>
      <w:r w:rsidR="00157A36" w:rsidRPr="00AA492A">
        <w:rPr>
          <w:szCs w:val="24"/>
          <w:lang w:val="en"/>
        </w:rPr>
        <w:t xml:space="preserve">accessing </w:t>
      </w:r>
      <w:r w:rsidRPr="00AA492A">
        <w:rPr>
          <w:szCs w:val="24"/>
          <w:lang w:val="en"/>
        </w:rPr>
        <w:t>treatment</w:t>
      </w:r>
      <w:r w:rsidR="00157A36" w:rsidRPr="00AA492A">
        <w:rPr>
          <w:szCs w:val="24"/>
          <w:lang w:val="en"/>
        </w:rPr>
        <w:t>.  This may be due to availability when hospitals were overloaded or to delays in routine or planned treatments or due to patient fears of COVID-19 reducing their likelihood of attending for emergency treatment when they needed it</w:t>
      </w:r>
      <w:r w:rsidR="002B3BF5" w:rsidRPr="00AA492A">
        <w:rPr>
          <w:szCs w:val="24"/>
          <w:lang w:val="en"/>
        </w:rPr>
        <w:t xml:space="preserve">. </w:t>
      </w:r>
      <w:r w:rsidR="00157A36" w:rsidRPr="00AA492A">
        <w:rPr>
          <w:szCs w:val="24"/>
          <w:lang w:val="en"/>
        </w:rPr>
        <w:t xml:space="preserve"> </w:t>
      </w:r>
      <w:r w:rsidR="002B3BF5" w:rsidRPr="00AA492A">
        <w:rPr>
          <w:szCs w:val="24"/>
          <w:lang w:val="en"/>
        </w:rPr>
        <w:t>Some of the deaths that did not mention COVID-19 may have been due to it as not all people who died were tested for the virus.</w:t>
      </w:r>
    </w:p>
    <w:p w14:paraId="1A910E36" w14:textId="77777777" w:rsidR="00C579B8" w:rsidRPr="00AA492A" w:rsidRDefault="00C579B8" w:rsidP="00107A7F">
      <w:pPr>
        <w:rPr>
          <w:szCs w:val="24"/>
          <w:lang w:val="en"/>
        </w:rPr>
      </w:pPr>
      <w:r w:rsidRPr="00AA492A">
        <w:rPr>
          <w:szCs w:val="24"/>
          <w:lang w:val="en"/>
        </w:rPr>
        <w:lastRenderedPageBreak/>
        <w:t xml:space="preserve">Excess mortality is the </w:t>
      </w:r>
      <w:r w:rsidR="002B3BF5" w:rsidRPr="00AA492A">
        <w:rPr>
          <w:szCs w:val="24"/>
          <w:lang w:val="en"/>
        </w:rPr>
        <w:t xml:space="preserve">additional </w:t>
      </w:r>
      <w:r w:rsidRPr="00AA492A">
        <w:rPr>
          <w:szCs w:val="24"/>
          <w:lang w:val="en"/>
        </w:rPr>
        <w:t xml:space="preserve">deaths, or mortality, </w:t>
      </w:r>
      <w:proofErr w:type="gramStart"/>
      <w:r w:rsidR="002B3BF5" w:rsidRPr="00AA492A">
        <w:rPr>
          <w:szCs w:val="24"/>
          <w:lang w:val="en"/>
        </w:rPr>
        <w:t>than</w:t>
      </w:r>
      <w:proofErr w:type="gramEnd"/>
      <w:r w:rsidR="002B3BF5" w:rsidRPr="00AA492A">
        <w:rPr>
          <w:szCs w:val="24"/>
          <w:lang w:val="en"/>
        </w:rPr>
        <w:t xml:space="preserve"> might otherwise be expected at a given time</w:t>
      </w:r>
      <w:r w:rsidR="000F271D" w:rsidRPr="000F271D">
        <w:rPr>
          <w:szCs w:val="24"/>
          <w:lang w:val="en"/>
        </w:rPr>
        <w:t xml:space="preserve"> </w:t>
      </w:r>
      <w:r w:rsidR="000F271D" w:rsidRPr="00AA492A">
        <w:rPr>
          <w:szCs w:val="24"/>
          <w:lang w:val="en"/>
        </w:rPr>
        <w:t>and does not depend on how COVID-19 deaths are recorded</w:t>
      </w:r>
      <w:r w:rsidR="000F271D" w:rsidRPr="00AA492A">
        <w:rPr>
          <w:rFonts w:eastAsia="Calibri" w:cs="Arial"/>
          <w:b/>
          <w:szCs w:val="24"/>
        </w:rPr>
        <w:t>.</w:t>
      </w:r>
      <w:r w:rsidR="002B3BF5" w:rsidRPr="00AA492A">
        <w:rPr>
          <w:szCs w:val="24"/>
          <w:lang w:val="en"/>
        </w:rPr>
        <w:t xml:space="preserve">  It is used to look at outbreaks of </w:t>
      </w:r>
      <w:r w:rsidRPr="00AA492A">
        <w:rPr>
          <w:szCs w:val="24"/>
          <w:lang w:val="en"/>
        </w:rPr>
        <w:t>specific disease, or exposure to harmful circumstances such as radiation</w:t>
      </w:r>
      <w:r w:rsidR="002B3BF5" w:rsidRPr="00AA492A">
        <w:rPr>
          <w:szCs w:val="24"/>
          <w:lang w:val="en"/>
        </w:rPr>
        <w:t xml:space="preserve"> or</w:t>
      </w:r>
      <w:r w:rsidRPr="00AA492A">
        <w:rPr>
          <w:szCs w:val="24"/>
          <w:lang w:val="en"/>
        </w:rPr>
        <w:t xml:space="preserve"> environmental </w:t>
      </w:r>
      <w:r w:rsidR="002B3BF5" w:rsidRPr="00AA492A">
        <w:rPr>
          <w:szCs w:val="24"/>
          <w:lang w:val="en"/>
        </w:rPr>
        <w:t xml:space="preserve">release of poisonous </w:t>
      </w:r>
      <w:r w:rsidRPr="00AA492A">
        <w:rPr>
          <w:szCs w:val="24"/>
          <w:lang w:val="en"/>
        </w:rPr>
        <w:t xml:space="preserve">chemicals, or </w:t>
      </w:r>
      <w:r w:rsidR="002B3BF5" w:rsidRPr="00AA492A">
        <w:rPr>
          <w:szCs w:val="24"/>
          <w:lang w:val="en"/>
        </w:rPr>
        <w:t xml:space="preserve">as a result of a </w:t>
      </w:r>
      <w:r w:rsidRPr="00AA492A">
        <w:rPr>
          <w:szCs w:val="24"/>
          <w:lang w:val="en"/>
        </w:rPr>
        <w:t>natural disaster.</w:t>
      </w:r>
      <w:r w:rsidR="00380361" w:rsidRPr="00AA492A">
        <w:rPr>
          <w:szCs w:val="24"/>
          <w:lang w:val="en"/>
        </w:rPr>
        <w:t xml:space="preserve"> </w:t>
      </w:r>
    </w:p>
    <w:p w14:paraId="1A910E37" w14:textId="77777777" w:rsidR="003C6900" w:rsidRPr="00AA492A" w:rsidRDefault="003C6900" w:rsidP="00107A7F">
      <w:pPr>
        <w:rPr>
          <w:szCs w:val="24"/>
          <w:lang w:val="en"/>
        </w:rPr>
      </w:pPr>
      <w:r w:rsidRPr="00AA492A">
        <w:rPr>
          <w:szCs w:val="24"/>
          <w:lang w:val="en"/>
        </w:rPr>
        <w:t xml:space="preserve">In England and Wales there were 113% more deaths than usual in the week ending 17 April 2020 – the peak week. Since then the number of excess deaths has steadily decreased towards pre-outbreak </w:t>
      </w:r>
      <w:r w:rsidR="002B3BF5" w:rsidRPr="00AA492A">
        <w:rPr>
          <w:szCs w:val="24"/>
          <w:lang w:val="en"/>
        </w:rPr>
        <w:t xml:space="preserve">levels with the latest data </w:t>
      </w:r>
      <w:r w:rsidRPr="00AA492A">
        <w:rPr>
          <w:szCs w:val="24"/>
          <w:lang w:val="en"/>
        </w:rPr>
        <w:t>for the week ending 22 May 2020 showing 24% more excess deaths than expected</w:t>
      </w:r>
      <w:r w:rsidR="00BB10BE" w:rsidRPr="00AA492A">
        <w:rPr>
          <w:szCs w:val="24"/>
          <w:lang w:val="en"/>
        </w:rPr>
        <w:t>.</w:t>
      </w:r>
    </w:p>
    <w:p w14:paraId="1A910E38" w14:textId="77777777" w:rsidR="00AA492A" w:rsidRDefault="002B3BF5" w:rsidP="00AA492A">
      <w:pPr>
        <w:rPr>
          <w:color w:val="43423E"/>
          <w:szCs w:val="24"/>
          <w:lang w:val="en"/>
        </w:rPr>
      </w:pPr>
      <w:r w:rsidRPr="00AA492A">
        <w:rPr>
          <w:szCs w:val="24"/>
          <w:lang w:val="en"/>
        </w:rPr>
        <w:fldChar w:fldCharType="begin"/>
      </w:r>
      <w:r w:rsidRPr="00AA492A">
        <w:rPr>
          <w:szCs w:val="24"/>
          <w:lang w:val="en"/>
        </w:rPr>
        <w:instrText xml:space="preserve"> REF _Ref43563336 \h </w:instrText>
      </w:r>
      <w:r w:rsidR="00AA492A" w:rsidRPr="00AA492A">
        <w:rPr>
          <w:szCs w:val="24"/>
          <w:lang w:val="en"/>
        </w:rPr>
        <w:instrText xml:space="preserve"> \* MERGEFORMAT </w:instrText>
      </w:r>
      <w:r w:rsidRPr="00AA492A">
        <w:rPr>
          <w:szCs w:val="24"/>
          <w:lang w:val="en"/>
        </w:rPr>
      </w:r>
      <w:r w:rsidRPr="00AA492A">
        <w:rPr>
          <w:szCs w:val="24"/>
          <w:lang w:val="en"/>
        </w:rPr>
        <w:fldChar w:fldCharType="separate"/>
      </w:r>
      <w:r w:rsidRPr="00AA492A">
        <w:t xml:space="preserve">Figure </w:t>
      </w:r>
      <w:r w:rsidRPr="00AA492A">
        <w:rPr>
          <w:noProof/>
        </w:rPr>
        <w:t>10</w:t>
      </w:r>
      <w:r w:rsidRPr="00AA492A">
        <w:rPr>
          <w:szCs w:val="24"/>
          <w:lang w:val="en"/>
        </w:rPr>
        <w:fldChar w:fldCharType="end"/>
      </w:r>
      <w:r w:rsidRPr="00AA492A">
        <w:rPr>
          <w:szCs w:val="24"/>
          <w:lang w:val="en"/>
        </w:rPr>
        <w:t xml:space="preserve"> </w:t>
      </w:r>
      <w:r w:rsidR="00380361" w:rsidRPr="00AA492A">
        <w:rPr>
          <w:szCs w:val="24"/>
          <w:lang w:val="en"/>
        </w:rPr>
        <w:t xml:space="preserve">displays the excess deaths in Harrow </w:t>
      </w:r>
      <w:r w:rsidR="00410EF6" w:rsidRPr="00AA492A">
        <w:rPr>
          <w:szCs w:val="24"/>
          <w:lang w:val="en"/>
        </w:rPr>
        <w:t>during</w:t>
      </w:r>
      <w:r w:rsidR="00380361" w:rsidRPr="00AA492A">
        <w:rPr>
          <w:szCs w:val="24"/>
          <w:lang w:val="en"/>
        </w:rPr>
        <w:t xml:space="preserve"> 2020 </w:t>
      </w:r>
      <w:r w:rsidR="00410EF6" w:rsidRPr="00AA492A">
        <w:rPr>
          <w:szCs w:val="24"/>
          <w:lang w:val="en"/>
        </w:rPr>
        <w:t xml:space="preserve">compared to the </w:t>
      </w:r>
      <w:r w:rsidR="00380361" w:rsidRPr="00AA492A">
        <w:rPr>
          <w:szCs w:val="24"/>
          <w:lang w:val="en"/>
        </w:rPr>
        <w:t xml:space="preserve">average </w:t>
      </w:r>
      <w:r w:rsidR="00410EF6" w:rsidRPr="00AA492A">
        <w:rPr>
          <w:szCs w:val="24"/>
          <w:lang w:val="en"/>
        </w:rPr>
        <w:t xml:space="preserve">number of deaths per week for five year </w:t>
      </w:r>
      <w:proofErr w:type="gramStart"/>
      <w:r w:rsidR="00410EF6" w:rsidRPr="00AA492A">
        <w:rPr>
          <w:szCs w:val="24"/>
          <w:lang w:val="en"/>
        </w:rPr>
        <w:t xml:space="preserve">period  </w:t>
      </w:r>
      <w:r w:rsidR="00380361" w:rsidRPr="00AA492A">
        <w:rPr>
          <w:szCs w:val="24"/>
          <w:lang w:val="en"/>
        </w:rPr>
        <w:t>2014</w:t>
      </w:r>
      <w:proofErr w:type="gramEnd"/>
      <w:r w:rsidR="00380361" w:rsidRPr="00AA492A">
        <w:rPr>
          <w:szCs w:val="24"/>
          <w:lang w:val="en"/>
        </w:rPr>
        <w:t xml:space="preserve">-2018 </w:t>
      </w:r>
      <w:r w:rsidR="002B20EE" w:rsidRPr="00AA492A">
        <w:rPr>
          <w:szCs w:val="24"/>
          <w:lang w:val="en"/>
        </w:rPr>
        <w:t>(methodology used to calculate excess deaths</w:t>
      </w:r>
      <w:r w:rsidR="00410EF6" w:rsidRPr="00AA492A">
        <w:rPr>
          <w:szCs w:val="24"/>
          <w:lang w:val="en"/>
        </w:rPr>
        <w:t xml:space="preserve">).  </w:t>
      </w:r>
      <w:r w:rsidR="00380361" w:rsidRPr="00AA492A">
        <w:rPr>
          <w:szCs w:val="24"/>
          <w:lang w:val="en"/>
        </w:rPr>
        <w:t xml:space="preserve"> </w:t>
      </w:r>
      <w:r w:rsidR="00AA492A" w:rsidRPr="00AA492A">
        <w:rPr>
          <w:color w:val="43423E"/>
          <w:szCs w:val="24"/>
          <w:lang w:val="en"/>
        </w:rPr>
        <w:t xml:space="preserve">It shows that </w:t>
      </w:r>
      <w:r w:rsidR="00AA492A">
        <w:rPr>
          <w:color w:val="43423E"/>
          <w:szCs w:val="24"/>
          <w:lang w:val="en"/>
        </w:rPr>
        <w:t xml:space="preserve">there were </w:t>
      </w:r>
      <w:r w:rsidR="00AA492A" w:rsidRPr="00AA492A">
        <w:rPr>
          <w:color w:val="43423E"/>
          <w:szCs w:val="24"/>
          <w:lang w:val="en"/>
        </w:rPr>
        <w:t>excess deaths the weeks during lockdown (week 12 onwards, March 23rd</w:t>
      </w:r>
      <w:proofErr w:type="gramStart"/>
      <w:r w:rsidR="00AA492A" w:rsidRPr="00AA492A">
        <w:rPr>
          <w:color w:val="43423E"/>
          <w:szCs w:val="24"/>
          <w:lang w:val="en"/>
        </w:rPr>
        <w:t xml:space="preserve"> 2020</w:t>
      </w:r>
      <w:proofErr w:type="gramEnd"/>
      <w:r w:rsidR="00AA492A" w:rsidRPr="00AA492A">
        <w:rPr>
          <w:color w:val="43423E"/>
          <w:szCs w:val="24"/>
          <w:lang w:val="en"/>
        </w:rPr>
        <w:t>) and then starts to tail off.</w:t>
      </w:r>
      <w:r w:rsidR="00AA492A">
        <w:rPr>
          <w:color w:val="43423E"/>
          <w:szCs w:val="24"/>
          <w:lang w:val="en"/>
        </w:rPr>
        <w:t xml:space="preserve"> Further analysis </w:t>
      </w:r>
      <w:r w:rsidR="00AA492A" w:rsidRPr="00AA492A">
        <w:rPr>
          <w:color w:val="43423E"/>
          <w:szCs w:val="24"/>
          <w:lang w:val="en"/>
        </w:rPr>
        <w:t xml:space="preserve">shows that around 87% of the excess deaths </w:t>
      </w:r>
      <w:r w:rsidR="00AA492A">
        <w:rPr>
          <w:color w:val="43423E"/>
          <w:szCs w:val="24"/>
          <w:lang w:val="en"/>
        </w:rPr>
        <w:t>we</w:t>
      </w:r>
      <w:r w:rsidR="00AA492A" w:rsidRPr="00AA492A">
        <w:rPr>
          <w:color w:val="43423E"/>
          <w:szCs w:val="24"/>
          <w:lang w:val="en"/>
        </w:rPr>
        <w:t xml:space="preserve">re due to COVID-19. </w:t>
      </w:r>
      <w:r w:rsidR="00AA492A">
        <w:rPr>
          <w:color w:val="43423E"/>
          <w:szCs w:val="24"/>
          <w:lang w:val="en"/>
        </w:rPr>
        <w:t xml:space="preserve"> </w:t>
      </w:r>
    </w:p>
    <w:p w14:paraId="1A910E39" w14:textId="77777777" w:rsidR="00AA492A" w:rsidRPr="00AA492A" w:rsidRDefault="000F271D" w:rsidP="00AA492A">
      <w:pPr>
        <w:rPr>
          <w:color w:val="43423E"/>
          <w:szCs w:val="24"/>
          <w:lang w:val="en"/>
        </w:rPr>
      </w:pPr>
      <w:r>
        <w:rPr>
          <w:color w:val="43423E"/>
          <w:szCs w:val="24"/>
          <w:lang w:val="en"/>
        </w:rPr>
        <w:t>The majority (85%) of COVID-19 deaths occurred in hospital.  Of the non-COVID-19 deaths there was a decrease in deaths in hospital and an increase in those in care homes and at home.  The data does not allow us to see if these were due to lack of access to hospital services, or due to changes in services to support people in their homes/ other place of residence.</w:t>
      </w:r>
    </w:p>
    <w:p w14:paraId="1A910E3A" w14:textId="77777777" w:rsidR="002B3BF5" w:rsidRDefault="002B3BF5" w:rsidP="000F271D">
      <w:pPr>
        <w:pStyle w:val="Caption"/>
      </w:pPr>
      <w:bookmarkStart w:id="8" w:name="_Ref43563336"/>
      <w:r>
        <w:t xml:space="preserve">Figure </w:t>
      </w:r>
      <w:fldSimple w:instr=" SEQ Figure \* ARABIC ">
        <w:r w:rsidR="00721ABB">
          <w:rPr>
            <w:noProof/>
          </w:rPr>
          <w:t>10</w:t>
        </w:r>
      </w:fldSimple>
      <w:bookmarkEnd w:id="8"/>
      <w:r>
        <w:t xml:space="preserve"> </w:t>
      </w:r>
      <w:r w:rsidRPr="002B3BF5">
        <w:t xml:space="preserve">Harrow excess </w:t>
      </w:r>
      <w:r w:rsidRPr="000F271D">
        <w:t>deaths</w:t>
      </w:r>
    </w:p>
    <w:p w14:paraId="1A910E3B" w14:textId="77777777" w:rsidR="003C6900" w:rsidRDefault="004D1E66" w:rsidP="003C6900">
      <w:pPr>
        <w:rPr>
          <w:rFonts w:ascii="Trebuchet MS" w:eastAsia="Calibri" w:hAnsi="Trebuchet MS" w:cs="Arial"/>
          <w:b/>
          <w:color w:val="4F81BD" w:themeColor="accent1"/>
        </w:rPr>
      </w:pPr>
      <w:r>
        <w:rPr>
          <w:rFonts w:ascii="Trebuchet MS" w:eastAsia="Calibri" w:hAnsi="Trebuchet MS" w:cs="Arial"/>
          <w:b/>
          <w:noProof/>
          <w:color w:val="4F81BD" w:themeColor="accent1"/>
          <w:lang w:eastAsia="en-GB"/>
        </w:rPr>
        <w:drawing>
          <wp:inline distT="0" distB="0" distL="0" distR="0" wp14:anchorId="1A910F6A" wp14:editId="1A910F6B">
            <wp:extent cx="3790950" cy="23256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93822" cy="2327413"/>
                    </a:xfrm>
                    <a:prstGeom prst="rect">
                      <a:avLst/>
                    </a:prstGeom>
                    <a:noFill/>
                  </pic:spPr>
                </pic:pic>
              </a:graphicData>
            </a:graphic>
          </wp:inline>
        </w:drawing>
      </w:r>
    </w:p>
    <w:p w14:paraId="1A910E3C" w14:textId="77777777" w:rsidR="002B3BF5" w:rsidRDefault="002B3BF5" w:rsidP="000F271D">
      <w:pPr>
        <w:pStyle w:val="Caption"/>
      </w:pPr>
      <w:r>
        <w:t xml:space="preserve">Source  </w:t>
      </w:r>
      <w:r w:rsidR="00F00FD8">
        <w:fldChar w:fldCharType="begin"/>
      </w:r>
      <w:r w:rsidR="00F00FD8">
        <w:instrText xml:space="preserve"> SEQ Source_ \* ARABIC </w:instrText>
      </w:r>
      <w:r w:rsidR="00F00FD8">
        <w:fldChar w:fldCharType="separate"/>
      </w:r>
      <w:r w:rsidR="009248B4">
        <w:rPr>
          <w:noProof/>
        </w:rPr>
        <w:t>5</w:t>
      </w:r>
      <w:r w:rsidR="00F00FD8">
        <w:rPr>
          <w:noProof/>
        </w:rPr>
        <w:fldChar w:fldCharType="end"/>
      </w:r>
      <w:r w:rsidRPr="00C06AD7">
        <w:rPr>
          <w:rFonts w:eastAsiaTheme="minorEastAsia" w:hAnsi="Calibri"/>
          <w:i/>
          <w:color w:val="000000" w:themeColor="text1"/>
          <w:kern w:val="24"/>
          <w:szCs w:val="24"/>
        </w:rPr>
        <w:t xml:space="preserve"> </w:t>
      </w:r>
      <w:r w:rsidRPr="00C06AD7">
        <w:t>ONS 2020, accessed June 15th</w:t>
      </w:r>
      <w:proofErr w:type="gramStart"/>
      <w:r w:rsidRPr="00C06AD7">
        <w:t xml:space="preserve"> 2020</w:t>
      </w:r>
      <w:proofErr w:type="gramEnd"/>
    </w:p>
    <w:p w14:paraId="1A910E3D" w14:textId="77777777" w:rsidR="000F271D" w:rsidRPr="000F271D" w:rsidRDefault="000F271D" w:rsidP="000F271D">
      <w:pPr>
        <w:spacing w:after="0"/>
        <w:rPr>
          <w:sz w:val="16"/>
          <w:szCs w:val="16"/>
        </w:rPr>
      </w:pPr>
    </w:p>
    <w:p w14:paraId="1A910E3E" w14:textId="77777777" w:rsidR="000F271D" w:rsidRDefault="000F271D" w:rsidP="000F271D">
      <w:pPr>
        <w:pStyle w:val="Caption"/>
      </w:pPr>
      <w:r>
        <w:t xml:space="preserve">Figure </w:t>
      </w:r>
      <w:fldSimple w:instr=" SEQ Figure \* ARABIC ">
        <w:r w:rsidR="00721ABB">
          <w:rPr>
            <w:noProof/>
          </w:rPr>
          <w:t>11</w:t>
        </w:r>
      </w:fldSimple>
      <w:r>
        <w:t xml:space="preserve"> Place of death</w:t>
      </w:r>
    </w:p>
    <w:p w14:paraId="1A910E3F" w14:textId="77777777" w:rsidR="00715F2E" w:rsidRDefault="000F271D" w:rsidP="00380361">
      <w:pPr>
        <w:spacing w:after="0" w:line="240" w:lineRule="auto"/>
        <w:rPr>
          <w:rFonts w:eastAsiaTheme="minorEastAsia" w:hAnsi="Arial"/>
          <w:color w:val="943634" w:themeColor="accent2" w:themeShade="BF"/>
          <w:lang w:eastAsia="en-GB"/>
        </w:rPr>
      </w:pPr>
      <w:r>
        <w:rPr>
          <w:rFonts w:eastAsiaTheme="minorEastAsia" w:hAnsi="Arial"/>
          <w:noProof/>
          <w:color w:val="943634" w:themeColor="accent2" w:themeShade="BF"/>
          <w:lang w:eastAsia="en-GB"/>
        </w:rPr>
        <w:drawing>
          <wp:inline distT="0" distB="0" distL="0" distR="0" wp14:anchorId="1A910F6C" wp14:editId="1A910F6D">
            <wp:extent cx="3886200" cy="233387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3507" cy="2332259"/>
                    </a:xfrm>
                    <a:prstGeom prst="rect">
                      <a:avLst/>
                    </a:prstGeom>
                    <a:noFill/>
                  </pic:spPr>
                </pic:pic>
              </a:graphicData>
            </a:graphic>
          </wp:inline>
        </w:drawing>
      </w:r>
    </w:p>
    <w:p w14:paraId="1A910E40" w14:textId="77777777" w:rsidR="000F271D" w:rsidRDefault="000F271D" w:rsidP="000F271D">
      <w:pPr>
        <w:pStyle w:val="Caption"/>
      </w:pPr>
      <w:r>
        <w:t xml:space="preserve">Source  </w:t>
      </w:r>
      <w:r w:rsidR="00F00FD8">
        <w:fldChar w:fldCharType="begin"/>
      </w:r>
      <w:r w:rsidR="00F00FD8">
        <w:instrText xml:space="preserve"> SEQ Source_ \* ARABIC </w:instrText>
      </w:r>
      <w:r w:rsidR="00F00FD8">
        <w:fldChar w:fldCharType="separate"/>
      </w:r>
      <w:r w:rsidR="009248B4">
        <w:rPr>
          <w:noProof/>
        </w:rPr>
        <w:t>6</w:t>
      </w:r>
      <w:r w:rsidR="00F00FD8">
        <w:rPr>
          <w:noProof/>
        </w:rPr>
        <w:fldChar w:fldCharType="end"/>
      </w:r>
      <w:r w:rsidRPr="00C06AD7">
        <w:rPr>
          <w:rFonts w:eastAsiaTheme="minorEastAsia" w:hAnsi="Calibri"/>
          <w:i/>
          <w:color w:val="000000" w:themeColor="text1"/>
          <w:kern w:val="24"/>
          <w:szCs w:val="24"/>
        </w:rPr>
        <w:t xml:space="preserve"> </w:t>
      </w:r>
      <w:r w:rsidRPr="00C06AD7">
        <w:t>ONS 2020, accessed June 15th</w:t>
      </w:r>
      <w:proofErr w:type="gramStart"/>
      <w:r w:rsidRPr="00C06AD7">
        <w:t xml:space="preserve"> 2020</w:t>
      </w:r>
      <w:proofErr w:type="gramEnd"/>
    </w:p>
    <w:p w14:paraId="1A910E41" w14:textId="77777777" w:rsidR="00AA492A" w:rsidRDefault="00AA492A">
      <w:pPr>
        <w:rPr>
          <w:rFonts w:ascii="Trebuchet MS" w:eastAsia="Calibri" w:hAnsi="Trebuchet MS" w:cs="Arial"/>
          <w:b/>
          <w:color w:val="4F81BD" w:themeColor="accent1"/>
          <w:szCs w:val="24"/>
        </w:rPr>
      </w:pPr>
      <w:r>
        <w:rPr>
          <w:rFonts w:ascii="Trebuchet MS" w:eastAsia="Calibri" w:hAnsi="Trebuchet MS" w:cs="Arial"/>
          <w:b/>
          <w:color w:val="4F81BD" w:themeColor="accent1"/>
          <w:szCs w:val="24"/>
        </w:rPr>
        <w:br w:type="page"/>
      </w:r>
    </w:p>
    <w:p w14:paraId="1A910E42" w14:textId="77777777" w:rsidR="00F5629C" w:rsidRDefault="003D2D47" w:rsidP="00107A7F">
      <w:pPr>
        <w:rPr>
          <w:b/>
        </w:rPr>
      </w:pPr>
      <w:r w:rsidRPr="00C579B8">
        <w:rPr>
          <w:rFonts w:ascii="Trebuchet MS" w:eastAsia="Calibri" w:hAnsi="Trebuchet MS" w:cs="Arial"/>
          <w:b/>
          <w:color w:val="4F81BD" w:themeColor="accent1"/>
          <w:szCs w:val="24"/>
        </w:rPr>
        <w:lastRenderedPageBreak/>
        <w:t>I</w:t>
      </w:r>
      <w:r w:rsidR="00F5629C" w:rsidRPr="00C579B8">
        <w:rPr>
          <w:rFonts w:ascii="Trebuchet MS" w:eastAsia="Calibri" w:hAnsi="Trebuchet MS" w:cs="Arial"/>
          <w:b/>
          <w:color w:val="4F81BD" w:themeColor="accent1"/>
          <w:szCs w:val="24"/>
        </w:rPr>
        <w:t>nequalities and disparities</w:t>
      </w:r>
      <w:r w:rsidR="00F5629C">
        <w:rPr>
          <w:b/>
        </w:rPr>
        <w:t xml:space="preserve"> </w:t>
      </w:r>
    </w:p>
    <w:p w14:paraId="1A910E43" w14:textId="77777777" w:rsidR="00817E72" w:rsidRDefault="00380361" w:rsidP="00C579B8">
      <w:pPr>
        <w:rPr>
          <w:rFonts w:eastAsiaTheme="minorEastAsia" w:hAnsi="Calibri"/>
          <w:color w:val="000000" w:themeColor="text1"/>
          <w:kern w:val="24"/>
          <w:szCs w:val="24"/>
        </w:rPr>
      </w:pPr>
      <w:r>
        <w:rPr>
          <w:rFonts w:eastAsiaTheme="minorEastAsia" w:hAnsi="Calibri"/>
          <w:color w:val="000000" w:themeColor="text1"/>
          <w:kern w:val="24"/>
          <w:szCs w:val="24"/>
        </w:rPr>
        <w:t xml:space="preserve">A recent review </w:t>
      </w:r>
      <w:r w:rsidR="00C579B8" w:rsidRPr="00C579B8">
        <w:rPr>
          <w:rFonts w:eastAsiaTheme="minorEastAsia" w:hAnsi="Calibri"/>
          <w:color w:val="000000" w:themeColor="text1"/>
          <w:kern w:val="24"/>
          <w:szCs w:val="24"/>
        </w:rPr>
        <w:t>confirms that the impa</w:t>
      </w:r>
      <w:r w:rsidR="00817E72">
        <w:rPr>
          <w:rFonts w:eastAsiaTheme="minorEastAsia" w:hAnsi="Calibri"/>
          <w:color w:val="000000" w:themeColor="text1"/>
          <w:kern w:val="24"/>
          <w:szCs w:val="24"/>
        </w:rPr>
        <w:t xml:space="preserve">ct of </w:t>
      </w:r>
      <w:r w:rsidR="00721ABB">
        <w:rPr>
          <w:rFonts w:eastAsiaTheme="minorEastAsia" w:hAnsi="Calibri"/>
          <w:color w:val="000000" w:themeColor="text1"/>
          <w:kern w:val="24"/>
          <w:szCs w:val="24"/>
        </w:rPr>
        <w:t xml:space="preserve">COVID-19 </w:t>
      </w:r>
      <w:r w:rsidR="00817E72">
        <w:rPr>
          <w:rFonts w:eastAsiaTheme="minorEastAsia" w:hAnsi="Calibri"/>
          <w:color w:val="000000" w:themeColor="text1"/>
          <w:kern w:val="24"/>
          <w:szCs w:val="24"/>
        </w:rPr>
        <w:t>has highlighted</w:t>
      </w:r>
      <w:r w:rsidR="00C579B8" w:rsidRPr="00C579B8">
        <w:rPr>
          <w:rFonts w:eastAsiaTheme="minorEastAsia" w:hAnsi="Calibri"/>
          <w:color w:val="000000" w:themeColor="text1"/>
          <w:kern w:val="24"/>
          <w:szCs w:val="24"/>
        </w:rPr>
        <w:t xml:space="preserve"> existing health inequalities and, in some cases, exacerbated them. </w:t>
      </w:r>
      <w:r w:rsidR="00721ABB">
        <w:rPr>
          <w:rFonts w:eastAsiaTheme="minorEastAsia" w:hAnsi="Calibri"/>
          <w:color w:val="000000" w:themeColor="text1"/>
          <w:kern w:val="24"/>
          <w:szCs w:val="24"/>
        </w:rPr>
        <w:t xml:space="preserve"> </w:t>
      </w:r>
    </w:p>
    <w:p w14:paraId="1A910E44" w14:textId="77777777" w:rsidR="00817E72" w:rsidRDefault="00721ABB" w:rsidP="00817E72">
      <w:pPr>
        <w:rPr>
          <w:rFonts w:eastAsiaTheme="minorEastAsia" w:hAnsi="Calibri"/>
          <w:color w:val="000000" w:themeColor="text1"/>
          <w:kern w:val="24"/>
          <w:szCs w:val="24"/>
        </w:rPr>
      </w:pPr>
      <w:r w:rsidRPr="00C579B8">
        <w:rPr>
          <w:rFonts w:eastAsiaTheme="minorEastAsia" w:hAnsi="Calibri"/>
          <w:color w:val="000000" w:themeColor="text1"/>
          <w:kern w:val="24"/>
          <w:szCs w:val="24"/>
        </w:rPr>
        <w:t>The largest disparity found was by age, with people diagnosed with COVID-19 who are aged 80 or older being 70 times more likely to die than those under 40.</w:t>
      </w:r>
      <w:r>
        <w:rPr>
          <w:rFonts w:eastAsiaTheme="minorEastAsia" w:hAnsi="Calibri"/>
          <w:color w:val="000000" w:themeColor="text1"/>
          <w:kern w:val="24"/>
          <w:szCs w:val="24"/>
        </w:rPr>
        <w:t xml:space="preserve"> </w:t>
      </w:r>
      <w:r w:rsidRPr="00C579B8">
        <w:rPr>
          <w:rFonts w:eastAsiaTheme="minorEastAsia" w:hAnsi="Calibri"/>
          <w:color w:val="000000" w:themeColor="text1"/>
          <w:kern w:val="24"/>
          <w:szCs w:val="24"/>
        </w:rPr>
        <w:t xml:space="preserve"> </w:t>
      </w:r>
      <w:r w:rsidR="00817E72" w:rsidRPr="00C579B8">
        <w:rPr>
          <w:rFonts w:eastAsiaTheme="minorEastAsia" w:hAnsi="Calibri"/>
          <w:color w:val="000000" w:themeColor="text1"/>
          <w:kern w:val="24"/>
          <w:szCs w:val="24"/>
        </w:rPr>
        <w:t xml:space="preserve">The </w:t>
      </w:r>
      <w:r>
        <w:rPr>
          <w:rFonts w:eastAsiaTheme="minorEastAsia" w:hAnsi="Calibri"/>
          <w:color w:val="000000" w:themeColor="text1"/>
          <w:kern w:val="24"/>
          <w:szCs w:val="24"/>
        </w:rPr>
        <w:t>ASMR</w:t>
      </w:r>
      <w:r w:rsidR="00817E72" w:rsidRPr="00C579B8">
        <w:rPr>
          <w:rFonts w:eastAsiaTheme="minorEastAsia" w:hAnsi="Calibri"/>
          <w:color w:val="000000" w:themeColor="text1"/>
          <w:kern w:val="24"/>
          <w:szCs w:val="24"/>
        </w:rPr>
        <w:t xml:space="preserve"> </w:t>
      </w:r>
      <w:r>
        <w:rPr>
          <w:rFonts w:eastAsiaTheme="minorEastAsia" w:hAnsi="Calibri"/>
          <w:color w:val="000000" w:themeColor="text1"/>
          <w:kern w:val="24"/>
          <w:szCs w:val="24"/>
        </w:rPr>
        <w:t>for</w:t>
      </w:r>
      <w:r w:rsidR="00817E72" w:rsidRPr="00C579B8">
        <w:rPr>
          <w:rFonts w:eastAsiaTheme="minorEastAsia" w:hAnsi="Calibri"/>
          <w:color w:val="000000" w:themeColor="text1"/>
          <w:kern w:val="24"/>
          <w:szCs w:val="24"/>
        </w:rPr>
        <w:t xml:space="preserve"> deaths involving COVID-19 in the most deprived areas of England was </w:t>
      </w:r>
      <w:r>
        <w:rPr>
          <w:rFonts w:eastAsiaTheme="minorEastAsia" w:hAnsi="Calibri"/>
          <w:color w:val="000000" w:themeColor="text1"/>
          <w:kern w:val="24"/>
          <w:szCs w:val="24"/>
        </w:rPr>
        <w:t xml:space="preserve">more than double that of </w:t>
      </w:r>
      <w:r w:rsidRPr="00C579B8">
        <w:rPr>
          <w:rFonts w:eastAsiaTheme="minorEastAsia" w:hAnsi="Calibri"/>
          <w:color w:val="000000" w:themeColor="text1"/>
          <w:kern w:val="24"/>
          <w:szCs w:val="24"/>
        </w:rPr>
        <w:t xml:space="preserve">the least deprived areas </w:t>
      </w:r>
      <w:r>
        <w:rPr>
          <w:rFonts w:eastAsiaTheme="minorEastAsia" w:hAnsi="Calibri"/>
          <w:color w:val="000000" w:themeColor="text1"/>
          <w:kern w:val="24"/>
          <w:szCs w:val="24"/>
        </w:rPr>
        <w:t>(</w:t>
      </w:r>
      <w:r w:rsidR="00817E72" w:rsidRPr="00C579B8">
        <w:rPr>
          <w:rFonts w:eastAsiaTheme="minorEastAsia" w:hAnsi="Calibri"/>
          <w:color w:val="000000" w:themeColor="text1"/>
          <w:kern w:val="24"/>
          <w:szCs w:val="24"/>
        </w:rPr>
        <w:t xml:space="preserve">55.1 deaths </w:t>
      </w:r>
      <w:r>
        <w:rPr>
          <w:rFonts w:eastAsiaTheme="minorEastAsia" w:hAnsi="Calibri"/>
          <w:color w:val="000000" w:themeColor="text1"/>
          <w:kern w:val="24"/>
          <w:szCs w:val="24"/>
        </w:rPr>
        <w:t xml:space="preserve">compared to </w:t>
      </w:r>
      <w:r w:rsidRPr="00C579B8">
        <w:rPr>
          <w:rFonts w:eastAsiaTheme="minorEastAsia" w:hAnsi="Calibri"/>
          <w:color w:val="000000" w:themeColor="text1"/>
          <w:kern w:val="24"/>
          <w:szCs w:val="24"/>
        </w:rPr>
        <w:t xml:space="preserve">25.3 deaths </w:t>
      </w:r>
      <w:r w:rsidR="00817E72" w:rsidRPr="00C579B8">
        <w:rPr>
          <w:rFonts w:eastAsiaTheme="minorEastAsia" w:hAnsi="Calibri"/>
          <w:color w:val="000000" w:themeColor="text1"/>
          <w:kern w:val="24"/>
          <w:szCs w:val="24"/>
        </w:rPr>
        <w:t xml:space="preserve">per </w:t>
      </w:r>
      <w:proofErr w:type="gramStart"/>
      <w:r w:rsidR="00817E72" w:rsidRPr="00C579B8">
        <w:rPr>
          <w:rFonts w:eastAsiaTheme="minorEastAsia" w:hAnsi="Calibri"/>
          <w:color w:val="000000" w:themeColor="text1"/>
          <w:kern w:val="24"/>
          <w:szCs w:val="24"/>
        </w:rPr>
        <w:t xml:space="preserve">100,000 </w:t>
      </w:r>
      <w:r>
        <w:rPr>
          <w:rFonts w:eastAsiaTheme="minorEastAsia" w:hAnsi="Calibri"/>
          <w:color w:val="000000" w:themeColor="text1"/>
          <w:kern w:val="24"/>
          <w:szCs w:val="24"/>
        </w:rPr>
        <w:t>)</w:t>
      </w:r>
      <w:proofErr w:type="gramEnd"/>
      <w:r>
        <w:rPr>
          <w:rFonts w:eastAsiaTheme="minorEastAsia" w:hAnsi="Calibri"/>
          <w:color w:val="000000" w:themeColor="text1"/>
          <w:kern w:val="24"/>
          <w:szCs w:val="24"/>
        </w:rPr>
        <w:t>.</w:t>
      </w:r>
    </w:p>
    <w:p w14:paraId="1A910E45" w14:textId="77777777" w:rsidR="00C579B8" w:rsidRDefault="00C579B8" w:rsidP="00C579B8">
      <w:pPr>
        <w:rPr>
          <w:rFonts w:eastAsiaTheme="minorEastAsia" w:hAnsi="Calibri"/>
          <w:color w:val="000000" w:themeColor="text1"/>
          <w:kern w:val="24"/>
          <w:szCs w:val="24"/>
        </w:rPr>
      </w:pPr>
      <w:r w:rsidRPr="00C579B8">
        <w:rPr>
          <w:rFonts w:eastAsiaTheme="minorEastAsia" w:hAnsi="Calibri"/>
          <w:color w:val="000000" w:themeColor="text1"/>
          <w:kern w:val="24"/>
          <w:szCs w:val="24"/>
        </w:rPr>
        <w:t>Being male, living in more deprived areas, and being from a Black, Asian and Minority Ethnic (BAME) background were</w:t>
      </w:r>
      <w:r w:rsidR="00721ABB">
        <w:rPr>
          <w:rFonts w:eastAsiaTheme="minorEastAsia" w:hAnsi="Calibri"/>
          <w:color w:val="000000" w:themeColor="text1"/>
          <w:kern w:val="24"/>
          <w:szCs w:val="24"/>
        </w:rPr>
        <w:t xml:space="preserve"> </w:t>
      </w:r>
      <w:r w:rsidRPr="00C579B8">
        <w:rPr>
          <w:rFonts w:eastAsiaTheme="minorEastAsia" w:hAnsi="Calibri"/>
          <w:color w:val="000000" w:themeColor="text1"/>
          <w:kern w:val="24"/>
          <w:szCs w:val="24"/>
        </w:rPr>
        <w:t>also found to be associated with worse outcomes, with the racial/ethnic disparity remaining even after accounting for the effects of age, sex, deprivation and region</w:t>
      </w:r>
      <w:r w:rsidR="00380361">
        <w:rPr>
          <w:rFonts w:eastAsiaTheme="minorEastAsia" w:hAnsi="Calibri"/>
          <w:color w:val="000000" w:themeColor="text1"/>
          <w:kern w:val="24"/>
          <w:szCs w:val="24"/>
        </w:rPr>
        <w:t xml:space="preserve">. </w:t>
      </w:r>
      <w:r w:rsidR="00721ABB">
        <w:rPr>
          <w:rFonts w:eastAsiaTheme="minorEastAsia" w:hAnsi="Calibri"/>
          <w:color w:val="000000" w:themeColor="text1"/>
          <w:kern w:val="24"/>
          <w:szCs w:val="24"/>
        </w:rPr>
        <w:fldChar w:fldCharType="begin"/>
      </w:r>
      <w:r w:rsidR="00721ABB">
        <w:rPr>
          <w:rFonts w:eastAsiaTheme="minorEastAsia" w:hAnsi="Calibri"/>
          <w:color w:val="000000" w:themeColor="text1"/>
          <w:kern w:val="24"/>
          <w:szCs w:val="24"/>
        </w:rPr>
        <w:instrText xml:space="preserve"> REF _Ref43571514 \h </w:instrText>
      </w:r>
      <w:r w:rsidR="00721ABB">
        <w:rPr>
          <w:rFonts w:eastAsiaTheme="minorEastAsia" w:hAnsi="Calibri"/>
          <w:color w:val="000000" w:themeColor="text1"/>
          <w:kern w:val="24"/>
          <w:szCs w:val="24"/>
        </w:rPr>
      </w:r>
      <w:r w:rsidR="00721ABB">
        <w:rPr>
          <w:rFonts w:eastAsiaTheme="minorEastAsia" w:hAnsi="Calibri"/>
          <w:color w:val="000000" w:themeColor="text1"/>
          <w:kern w:val="24"/>
          <w:szCs w:val="24"/>
        </w:rPr>
        <w:fldChar w:fldCharType="separate"/>
      </w:r>
      <w:r w:rsidR="00721ABB">
        <w:t xml:space="preserve">Figure </w:t>
      </w:r>
      <w:r w:rsidR="00721ABB">
        <w:rPr>
          <w:noProof/>
        </w:rPr>
        <w:t>12</w:t>
      </w:r>
      <w:r w:rsidR="00721ABB">
        <w:rPr>
          <w:rFonts w:eastAsiaTheme="minorEastAsia" w:hAnsi="Calibri"/>
          <w:color w:val="000000" w:themeColor="text1"/>
          <w:kern w:val="24"/>
          <w:szCs w:val="24"/>
        </w:rPr>
        <w:fldChar w:fldCharType="end"/>
      </w:r>
      <w:r w:rsidR="00721ABB">
        <w:rPr>
          <w:rFonts w:eastAsiaTheme="minorEastAsia" w:hAnsi="Calibri"/>
          <w:color w:val="000000" w:themeColor="text1"/>
          <w:kern w:val="24"/>
          <w:szCs w:val="24"/>
        </w:rPr>
        <w:t xml:space="preserve"> and </w:t>
      </w:r>
      <w:r w:rsidR="00721ABB">
        <w:rPr>
          <w:rFonts w:eastAsiaTheme="minorEastAsia" w:hAnsi="Calibri"/>
          <w:color w:val="000000" w:themeColor="text1"/>
          <w:kern w:val="24"/>
          <w:szCs w:val="24"/>
        </w:rPr>
        <w:fldChar w:fldCharType="begin"/>
      </w:r>
      <w:r w:rsidR="00721ABB">
        <w:rPr>
          <w:rFonts w:eastAsiaTheme="minorEastAsia" w:hAnsi="Calibri"/>
          <w:color w:val="000000" w:themeColor="text1"/>
          <w:kern w:val="24"/>
          <w:szCs w:val="24"/>
        </w:rPr>
        <w:instrText xml:space="preserve"> REF _Ref43571517 \h </w:instrText>
      </w:r>
      <w:r w:rsidR="00721ABB">
        <w:rPr>
          <w:rFonts w:eastAsiaTheme="minorEastAsia" w:hAnsi="Calibri"/>
          <w:color w:val="000000" w:themeColor="text1"/>
          <w:kern w:val="24"/>
          <w:szCs w:val="24"/>
        </w:rPr>
      </w:r>
      <w:r w:rsidR="00721ABB">
        <w:rPr>
          <w:rFonts w:eastAsiaTheme="minorEastAsia" w:hAnsi="Calibri"/>
          <w:color w:val="000000" w:themeColor="text1"/>
          <w:kern w:val="24"/>
          <w:szCs w:val="24"/>
        </w:rPr>
        <w:fldChar w:fldCharType="separate"/>
      </w:r>
      <w:r w:rsidR="00721ABB">
        <w:t xml:space="preserve">Figure </w:t>
      </w:r>
      <w:r w:rsidR="00721ABB">
        <w:rPr>
          <w:noProof/>
        </w:rPr>
        <w:t>13</w:t>
      </w:r>
      <w:r w:rsidR="00721ABB">
        <w:rPr>
          <w:rFonts w:eastAsiaTheme="minorEastAsia" w:hAnsi="Calibri"/>
          <w:color w:val="000000" w:themeColor="text1"/>
          <w:kern w:val="24"/>
          <w:szCs w:val="24"/>
        </w:rPr>
        <w:fldChar w:fldCharType="end"/>
      </w:r>
      <w:r w:rsidR="00721ABB">
        <w:rPr>
          <w:rFonts w:eastAsiaTheme="minorEastAsia" w:hAnsi="Calibri"/>
          <w:color w:val="000000" w:themeColor="text1"/>
          <w:kern w:val="24"/>
          <w:szCs w:val="24"/>
        </w:rPr>
        <w:t xml:space="preserve"> show these ethnic disparities.  However, the model was unable to take into account the impact of </w:t>
      </w:r>
      <w:proofErr w:type="gramStart"/>
      <w:r w:rsidR="00721ABB">
        <w:rPr>
          <w:rFonts w:eastAsiaTheme="minorEastAsia" w:hAnsi="Calibri"/>
          <w:color w:val="000000" w:themeColor="text1"/>
          <w:kern w:val="24"/>
          <w:szCs w:val="24"/>
        </w:rPr>
        <w:t>long term</w:t>
      </w:r>
      <w:proofErr w:type="gramEnd"/>
      <w:r w:rsidR="00721ABB">
        <w:rPr>
          <w:rFonts w:eastAsiaTheme="minorEastAsia" w:hAnsi="Calibri"/>
          <w:color w:val="000000" w:themeColor="text1"/>
          <w:kern w:val="24"/>
          <w:szCs w:val="24"/>
        </w:rPr>
        <w:t xml:space="preserve"> conditions which we know are associated with higher rates of mortality from COVID-19 and which we also know disproportionally affect the BAME communities.</w:t>
      </w:r>
    </w:p>
    <w:p w14:paraId="1A910E46" w14:textId="77777777" w:rsidR="009248B4" w:rsidRDefault="009248B4" w:rsidP="009248B4">
      <w:pPr>
        <w:rPr>
          <w:rFonts w:eastAsiaTheme="minorEastAsia" w:hAnsi="Calibri"/>
          <w:color w:val="000000" w:themeColor="text1"/>
          <w:kern w:val="24"/>
          <w:szCs w:val="24"/>
        </w:rPr>
      </w:pPr>
      <w:r>
        <w:rPr>
          <w:rFonts w:eastAsiaTheme="minorEastAsia" w:hAnsi="Calibri"/>
          <w:color w:val="000000" w:themeColor="text1"/>
          <w:kern w:val="24"/>
          <w:szCs w:val="24"/>
        </w:rPr>
        <w:t xml:space="preserve">Local data is not yet available to undertake analyses on these factors.  We hope to be able to do so in future reports.  In Harrow, the BAME population accounts for almost 64% of the total population.  We also know that these groups are more prone to the </w:t>
      </w:r>
      <w:proofErr w:type="gramStart"/>
      <w:r>
        <w:rPr>
          <w:rFonts w:eastAsiaTheme="minorEastAsia" w:hAnsi="Calibri"/>
          <w:color w:val="000000" w:themeColor="text1"/>
          <w:kern w:val="24"/>
          <w:szCs w:val="24"/>
        </w:rPr>
        <w:t>long term</w:t>
      </w:r>
      <w:proofErr w:type="gramEnd"/>
      <w:r>
        <w:rPr>
          <w:rFonts w:eastAsiaTheme="minorEastAsia" w:hAnsi="Calibri"/>
          <w:color w:val="000000" w:themeColor="text1"/>
          <w:kern w:val="24"/>
          <w:szCs w:val="24"/>
        </w:rPr>
        <w:t xml:space="preserve"> conditions such as diabetes, hypertension, CVD, and </w:t>
      </w:r>
      <w:r>
        <w:rPr>
          <w:rFonts w:eastAsiaTheme="minorEastAsia" w:hAnsi="Calibri"/>
          <w:color w:val="000000" w:themeColor="text1"/>
          <w:kern w:val="24"/>
          <w:szCs w:val="24"/>
        </w:rPr>
        <w:t xml:space="preserve">some complex co-morbidities.  This may explain why we have seen higher than average rates for both cases and deaths from COVID-19.  It does not explain why we see these health inequalities but does highlight them and makes it </w:t>
      </w:r>
      <w:proofErr w:type="gramStart"/>
      <w:r>
        <w:rPr>
          <w:rFonts w:eastAsiaTheme="minorEastAsia" w:hAnsi="Calibri"/>
          <w:color w:val="000000" w:themeColor="text1"/>
          <w:kern w:val="24"/>
          <w:szCs w:val="24"/>
        </w:rPr>
        <w:t>pressing</w:t>
      </w:r>
      <w:proofErr w:type="gramEnd"/>
      <w:r>
        <w:rPr>
          <w:rFonts w:eastAsiaTheme="minorEastAsia" w:hAnsi="Calibri"/>
          <w:color w:val="000000" w:themeColor="text1"/>
          <w:kern w:val="24"/>
          <w:szCs w:val="24"/>
        </w:rPr>
        <w:t xml:space="preserve"> that we address them.</w:t>
      </w:r>
    </w:p>
    <w:p w14:paraId="1A910E47" w14:textId="77777777" w:rsidR="00721ABB" w:rsidRDefault="00721ABB" w:rsidP="00721ABB">
      <w:pPr>
        <w:pStyle w:val="Caption"/>
      </w:pPr>
      <w:bookmarkStart w:id="9" w:name="_Ref43571514"/>
      <w:r>
        <w:t xml:space="preserve">Figure </w:t>
      </w:r>
      <w:fldSimple w:instr=" SEQ Figure \* ARABIC ">
        <w:r>
          <w:rPr>
            <w:noProof/>
          </w:rPr>
          <w:t>12</w:t>
        </w:r>
      </w:fldSimple>
      <w:bookmarkEnd w:id="9"/>
      <w:r w:rsidRPr="00721ABB">
        <w:t xml:space="preserve"> Model estimates of the likelihood of dying from COVID-19 - Males</w:t>
      </w:r>
    </w:p>
    <w:p w14:paraId="1A910E48" w14:textId="77777777" w:rsidR="00265469" w:rsidRDefault="00B74D2E" w:rsidP="009248B4">
      <w:pPr>
        <w:spacing w:after="0"/>
        <w:rPr>
          <w:b/>
        </w:rPr>
      </w:pPr>
      <w:r>
        <w:rPr>
          <w:noProof/>
          <w:lang w:eastAsia="en-GB"/>
        </w:rPr>
        <w:drawing>
          <wp:inline distT="0" distB="0" distL="0" distR="0" wp14:anchorId="1A910F6E" wp14:editId="1A910F6F">
            <wp:extent cx="4514330" cy="1814895"/>
            <wp:effectExtent l="19050" t="19050" r="19685" b="1397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2740" cy="1814256"/>
                    </a:xfrm>
                    <a:prstGeom prst="rect">
                      <a:avLst/>
                    </a:prstGeom>
                    <a:noFill/>
                    <a:ln w="9525">
                      <a:solidFill>
                        <a:schemeClr val="tx1"/>
                      </a:solidFill>
                      <a:miter lim="800000"/>
                      <a:headEnd/>
                      <a:tailEnd/>
                    </a:ln>
                  </pic:spPr>
                </pic:pic>
              </a:graphicData>
            </a:graphic>
          </wp:inline>
        </w:drawing>
      </w:r>
    </w:p>
    <w:p w14:paraId="1A910E49" w14:textId="77777777" w:rsidR="00FC426D" w:rsidRPr="009248B4" w:rsidRDefault="00FC426D" w:rsidP="009248B4">
      <w:pPr>
        <w:spacing w:after="0"/>
        <w:rPr>
          <w:rFonts w:eastAsia="Calibri" w:cs="Arial"/>
          <w:color w:val="4F81BD" w:themeColor="accent1"/>
          <w:sz w:val="16"/>
          <w:szCs w:val="16"/>
        </w:rPr>
      </w:pPr>
    </w:p>
    <w:p w14:paraId="1A910E4A" w14:textId="77777777" w:rsidR="00721ABB" w:rsidRDefault="00721ABB" w:rsidP="00721ABB">
      <w:pPr>
        <w:pStyle w:val="Caption"/>
      </w:pPr>
      <w:bookmarkStart w:id="10" w:name="_Ref43571517"/>
      <w:r>
        <w:t xml:space="preserve">Figure </w:t>
      </w:r>
      <w:fldSimple w:instr=" SEQ Figure \* ARABIC ">
        <w:r>
          <w:rPr>
            <w:noProof/>
          </w:rPr>
          <w:t>13</w:t>
        </w:r>
      </w:fldSimple>
      <w:bookmarkEnd w:id="10"/>
      <w:r w:rsidRPr="00721ABB">
        <w:rPr>
          <w:rFonts w:ascii="Trebuchet MS" w:eastAsia="Calibri" w:hAnsi="Trebuchet MS" w:cs="Arial"/>
        </w:rPr>
        <w:t xml:space="preserve"> </w:t>
      </w:r>
      <w:r>
        <w:rPr>
          <w:rFonts w:ascii="Trebuchet MS" w:eastAsia="Calibri" w:hAnsi="Trebuchet MS" w:cs="Arial"/>
        </w:rPr>
        <w:t>Model estimates of the likelihood of dying from COVID-19 - Females</w:t>
      </w:r>
    </w:p>
    <w:p w14:paraId="1A910E4B" w14:textId="77777777" w:rsidR="009248B4" w:rsidRDefault="00B74D2E" w:rsidP="009248B4">
      <w:pPr>
        <w:keepNext/>
      </w:pPr>
      <w:r>
        <w:rPr>
          <w:noProof/>
          <w:lang w:eastAsia="en-GB"/>
        </w:rPr>
        <w:drawing>
          <wp:inline distT="0" distB="0" distL="0" distR="0" wp14:anchorId="1A910F70" wp14:editId="1A910F71">
            <wp:extent cx="4467225" cy="1798822"/>
            <wp:effectExtent l="19050" t="19050" r="9525" b="11430"/>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2656" cy="1801009"/>
                    </a:xfrm>
                    <a:prstGeom prst="rect">
                      <a:avLst/>
                    </a:prstGeom>
                    <a:noFill/>
                    <a:ln w="9525">
                      <a:solidFill>
                        <a:schemeClr val="tx1"/>
                      </a:solidFill>
                      <a:miter lim="800000"/>
                      <a:headEnd/>
                      <a:tailEnd/>
                    </a:ln>
                  </pic:spPr>
                </pic:pic>
              </a:graphicData>
            </a:graphic>
          </wp:inline>
        </w:drawing>
      </w:r>
    </w:p>
    <w:p w14:paraId="1A910E4C" w14:textId="77777777" w:rsidR="00965517" w:rsidRDefault="009248B4" w:rsidP="009248B4">
      <w:pPr>
        <w:pStyle w:val="Caption"/>
      </w:pPr>
      <w:r>
        <w:t xml:space="preserve">Source  </w:t>
      </w:r>
      <w:r w:rsidR="00F00FD8">
        <w:fldChar w:fldCharType="begin"/>
      </w:r>
      <w:r w:rsidR="00F00FD8">
        <w:instrText xml:space="preserve"> SEQ Source_ \* ARABIC </w:instrText>
      </w:r>
      <w:r w:rsidR="00F00FD8">
        <w:fldChar w:fldCharType="separate"/>
      </w:r>
      <w:r>
        <w:rPr>
          <w:noProof/>
        </w:rPr>
        <w:t>7</w:t>
      </w:r>
      <w:r w:rsidR="00F00FD8">
        <w:rPr>
          <w:noProof/>
        </w:rPr>
        <w:fldChar w:fldCharType="end"/>
      </w:r>
      <w:r w:rsidRPr="009248B4">
        <w:rPr>
          <w:rFonts w:eastAsiaTheme="minorEastAsia" w:hAnsi="Calibri"/>
          <w:i/>
          <w:iCs/>
          <w:color w:val="000000" w:themeColor="text1"/>
          <w:kern w:val="24"/>
        </w:rPr>
        <w:t xml:space="preserve"> </w:t>
      </w:r>
      <w:r w:rsidRPr="009248B4">
        <w:t>Office for National Statistics – Coronavirus-related deaths by ethnic group</w:t>
      </w:r>
    </w:p>
    <w:p w14:paraId="1A910E4D" w14:textId="77777777" w:rsidR="00965517" w:rsidRDefault="00965517">
      <w:pPr>
        <w:rPr>
          <w:b/>
          <w:bCs/>
          <w:color w:val="4F81BD" w:themeColor="accent1"/>
          <w:sz w:val="18"/>
          <w:szCs w:val="18"/>
        </w:rPr>
      </w:pPr>
      <w:r>
        <w:br w:type="page"/>
      </w:r>
    </w:p>
    <w:p w14:paraId="1A910E4E" w14:textId="77777777" w:rsidR="004C4D76" w:rsidRDefault="000433CF" w:rsidP="001E7F45">
      <w:pPr>
        <w:pStyle w:val="Heading1"/>
      </w:pPr>
      <w:r>
        <w:lastRenderedPageBreak/>
        <w:t xml:space="preserve">Section 2 </w:t>
      </w:r>
    </w:p>
    <w:p w14:paraId="1A910E4F" w14:textId="77777777" w:rsidR="001E7F45" w:rsidRPr="004C4D76" w:rsidRDefault="001E7F45" w:rsidP="001E7F45">
      <w:r w:rsidRPr="004C4D76">
        <w:t>COVID-19 is an infectious disease caused by a new virus that began as an outbreak in Wuhan, China in December 2019. It evolved into a global pandemic, with the first case of COVID-19 emerging in England in January 2020.</w:t>
      </w:r>
      <w:r w:rsidRPr="004C4D76">
        <w:rPr>
          <w:vertAlign w:val="superscript"/>
        </w:rPr>
        <w:endnoteReference w:id="1"/>
      </w:r>
      <w:r w:rsidRPr="004C4D76">
        <w:t xml:space="preserve"> </w:t>
      </w:r>
      <w:r w:rsidRPr="004C4D76">
        <w:rPr>
          <w:vertAlign w:val="superscript"/>
        </w:rPr>
        <w:endnoteReference w:id="2"/>
      </w:r>
      <w:r w:rsidRPr="004C4D76">
        <w:t xml:space="preserve">. The COVID-19 pandemic will have a direct impact on those becoming </w:t>
      </w:r>
      <w:proofErr w:type="gramStart"/>
      <w:r w:rsidRPr="004C4D76">
        <w:t>infected</w:t>
      </w:r>
      <w:proofErr w:type="gramEnd"/>
      <w:r w:rsidRPr="004C4D76">
        <w:t xml:space="preserve"> but it will also have impacts on our physical and mental wellbeing. </w:t>
      </w:r>
      <w:proofErr w:type="gramStart"/>
      <w:r w:rsidRPr="004C4D76">
        <w:t>National  guidance</w:t>
      </w:r>
      <w:proofErr w:type="gramEnd"/>
      <w:r w:rsidRPr="004C4D76">
        <w:t xml:space="preserve"> has reduced our levels of physical activity and the support mechanisms we usually rely on, this has caused worry and anxiety about the health of ourselves and others.</w:t>
      </w:r>
      <w:r w:rsidRPr="004C4D76">
        <w:rPr>
          <w:vertAlign w:val="superscript"/>
        </w:rPr>
        <w:endnoteReference w:id="3"/>
      </w:r>
    </w:p>
    <w:p w14:paraId="1A910E50" w14:textId="77777777" w:rsidR="001E7F45" w:rsidRPr="004C4D76" w:rsidRDefault="001E7F45" w:rsidP="001E7F45">
      <w:r w:rsidRPr="004C4D76">
        <w:t>Early studies from China suggest a significant psychological impact of the pandemic, an increase in negative emotions (anxiety, depression) and high levels of concern for loved ones.</w:t>
      </w:r>
      <w:r w:rsidRPr="004C4D76">
        <w:rPr>
          <w:vertAlign w:val="superscript"/>
        </w:rPr>
        <w:endnoteReference w:id="4"/>
      </w:r>
      <w:r w:rsidRPr="004C4D76">
        <w:t xml:space="preserve"> </w:t>
      </w:r>
      <w:r w:rsidRPr="004C4D76">
        <w:rPr>
          <w:vertAlign w:val="superscript"/>
        </w:rPr>
        <w:endnoteReference w:id="5"/>
      </w:r>
      <w:r w:rsidRPr="004C4D76">
        <w:t xml:space="preserve"> Increased levels of stress, depression, anxiety have been observed following disasters, and during isolation and lockdown in previous outbreaks (e.g. SARS-</w:t>
      </w:r>
      <w:proofErr w:type="spellStart"/>
      <w:r w:rsidRPr="004C4D76">
        <w:t>CoV</w:t>
      </w:r>
      <w:proofErr w:type="spellEnd"/>
      <w:r w:rsidRPr="004C4D76">
        <w:t xml:space="preserve"> and MERS). Healthcare workers were particularly vulnerable, with high levels of psychiatric symptoms such as anxiety and post-traumatic stress disorder. </w:t>
      </w:r>
      <w:r w:rsidRPr="004C4D76">
        <w:rPr>
          <w:vertAlign w:val="superscript"/>
        </w:rPr>
        <w:endnoteReference w:id="6"/>
      </w:r>
      <w:r w:rsidRPr="004C4D76">
        <w:t xml:space="preserve"> </w:t>
      </w:r>
      <w:r w:rsidRPr="004C4D76">
        <w:rPr>
          <w:vertAlign w:val="superscript"/>
        </w:rPr>
        <w:endnoteReference w:id="7"/>
      </w:r>
      <w:r w:rsidRPr="004C4D76">
        <w:t xml:space="preserve"> The effects of restrictions in previous outbreaks were also exacerbated by duration, fears of infection, frustration and boredom, inadequate supplies, inadequate information, financial loss and stigma.</w:t>
      </w:r>
      <w:r w:rsidRPr="004C4D76">
        <w:rPr>
          <w:vertAlign w:val="superscript"/>
        </w:rPr>
        <w:endnoteReference w:id="8"/>
      </w:r>
    </w:p>
    <w:p w14:paraId="1A910E51" w14:textId="77777777" w:rsidR="001E7F45" w:rsidRPr="004C4D76" w:rsidRDefault="001E7F45" w:rsidP="001E7F45">
      <w:r w:rsidRPr="004C4D76">
        <w:t xml:space="preserve">Recent surveys in the UK reveal widespread uncertainty and heightened anxiety caused by the pandemic. This is compounded by practical issues, such as worries about finances, employment and housing. There are concerns about isolation and loneliness, and </w:t>
      </w:r>
      <w:r w:rsidRPr="004C4D76">
        <w:t>reduced levels of exercise.</w:t>
      </w:r>
      <w:r w:rsidRPr="004C4D76">
        <w:rPr>
          <w:vertAlign w:val="superscript"/>
        </w:rPr>
        <w:endnoteReference w:id="9"/>
      </w:r>
      <w:r w:rsidRPr="004C4D76">
        <w:t xml:space="preserve"> The restrictions have also resulted in changes in behaviour, and subsequent negative impact on people’s welfare and wellbeing. In April 2020, a third of people surveyed in the UK reported sleeping less or worse than usual (38%, 35% reported eating more food or less healthy food, and 19% reported drinking more alcohol than normal. </w:t>
      </w:r>
      <w:r w:rsidRPr="004C4D76">
        <w:rPr>
          <w:vertAlign w:val="superscript"/>
        </w:rPr>
        <w:endnoteReference w:id="10"/>
      </w:r>
      <w:r w:rsidRPr="004C4D76">
        <w:t xml:space="preserve"> </w:t>
      </w:r>
    </w:p>
    <w:p w14:paraId="1A910E52" w14:textId="77777777" w:rsidR="001E7F45" w:rsidRPr="004C4D76" w:rsidRDefault="001E7F45" w:rsidP="001E7F45">
      <w:r w:rsidRPr="004C4D76">
        <w:t xml:space="preserve">Social distancing and lockdown </w:t>
      </w:r>
      <w:proofErr w:type="gramStart"/>
      <w:r w:rsidRPr="004C4D76">
        <w:t>has</w:t>
      </w:r>
      <w:proofErr w:type="gramEnd"/>
      <w:r w:rsidRPr="004C4D76">
        <w:t xml:space="preserve"> consequences for domestic abuse and risks of harm within the home. In the UK, contacts to helplines have increased, and there is evidence of more complex and violent incidents of domestic abuse. Refuges for victims are also struggling due shielding and social distancing requirements.</w:t>
      </w:r>
      <w:r w:rsidRPr="004C4D76">
        <w:rPr>
          <w:vertAlign w:val="superscript"/>
        </w:rPr>
        <w:t xml:space="preserve"> </w:t>
      </w:r>
      <w:r w:rsidRPr="004C4D76">
        <w:rPr>
          <w:vertAlign w:val="superscript"/>
        </w:rPr>
        <w:endnoteReference w:id="11"/>
      </w:r>
      <w:r w:rsidRPr="004C4D76">
        <w:t xml:space="preserve"> Children are also vulnerable as the closure of schools and children’s services has resulted in reduced visibility of child victims of abuse and neglect. </w:t>
      </w:r>
    </w:p>
    <w:p w14:paraId="1A910E53" w14:textId="77777777" w:rsidR="001E7F45" w:rsidRPr="004C4D76" w:rsidRDefault="001E7F45" w:rsidP="001E7F45">
      <w:r w:rsidRPr="004C4D76">
        <w:t xml:space="preserve">The pandemic has also had an indirect impact on people with conditions not related to COVID-19. There are concerns of a significant reduction in GP and A&amp;E attendances due to worries about contracting the virus or adding to pressure on the NHS. </w:t>
      </w:r>
      <w:r w:rsidRPr="004C4D76">
        <w:rPr>
          <w:vertAlign w:val="superscript"/>
        </w:rPr>
        <w:endnoteReference w:id="12"/>
      </w:r>
      <w:r w:rsidRPr="004C4D76">
        <w:t xml:space="preserve"> </w:t>
      </w:r>
      <w:r w:rsidRPr="004C4D76">
        <w:rPr>
          <w:vertAlign w:val="superscript"/>
        </w:rPr>
        <w:endnoteReference w:id="13"/>
      </w:r>
      <w:r w:rsidRPr="004C4D76">
        <w:t xml:space="preserve"> </w:t>
      </w:r>
      <w:r w:rsidRPr="004C4D76">
        <w:rPr>
          <w:vertAlign w:val="superscript"/>
        </w:rPr>
        <w:endnoteReference w:id="14"/>
      </w:r>
      <w:r w:rsidRPr="004C4D76">
        <w:t xml:space="preserve"> </w:t>
      </w:r>
      <w:r w:rsidRPr="004C4D76">
        <w:rPr>
          <w:vertAlign w:val="superscript"/>
        </w:rPr>
        <w:endnoteReference w:id="15"/>
      </w:r>
      <w:r w:rsidRPr="004C4D76">
        <w:t xml:space="preserve"> Non-COVID conditions may therefore be unmanaged which could have serious consequences; as seen in other pandemics.</w:t>
      </w:r>
      <w:r w:rsidRPr="004C4D76">
        <w:rPr>
          <w:vertAlign w:val="superscript"/>
        </w:rPr>
        <w:endnoteReference w:id="16"/>
      </w:r>
      <w:r w:rsidRPr="004C4D76">
        <w:t xml:space="preserve"> Essential and urgent services have continued during this time for people that are acutely unwell, people with long-term conditions and preventive health interventions such as childhood and adult immunisations. </w:t>
      </w:r>
      <w:r w:rsidRPr="004C4D76">
        <w:rPr>
          <w:vertAlign w:val="superscript"/>
        </w:rPr>
        <w:endnoteReference w:id="17"/>
      </w:r>
    </w:p>
    <w:p w14:paraId="1A910E54" w14:textId="77777777" w:rsidR="001E7F45" w:rsidRPr="004C4D76" w:rsidRDefault="001E7F45" w:rsidP="001E7F45">
      <w:r w:rsidRPr="004C4D76">
        <w:lastRenderedPageBreak/>
        <w:t xml:space="preserve">In this time many of us have become more vulnerable; children, young people, older adults, people with pre-existing conditions, people on low income, socially excluded groups (e.g. prisoners, homeless, refugees) and front-line workers. </w:t>
      </w:r>
      <w:r w:rsidRPr="004C4D76">
        <w:rPr>
          <w:vertAlign w:val="superscript"/>
        </w:rPr>
        <w:endnoteReference w:id="18"/>
      </w:r>
      <w:r w:rsidRPr="004C4D76">
        <w:t xml:space="preserve"> </w:t>
      </w:r>
      <w:r w:rsidRPr="004C4D76">
        <w:rPr>
          <w:vertAlign w:val="superscript"/>
        </w:rPr>
        <w:endnoteReference w:id="19"/>
      </w:r>
    </w:p>
    <w:p w14:paraId="1A910E55" w14:textId="77777777" w:rsidR="001E7F45" w:rsidRPr="004C4D76" w:rsidRDefault="001E7F45" w:rsidP="001E7F45">
      <w:pPr>
        <w:pStyle w:val="Heading2"/>
      </w:pPr>
      <w:r>
        <w:t>I</w:t>
      </w:r>
      <w:r w:rsidRPr="004C4D76">
        <w:t>mpact on commissioned Public Health Services</w:t>
      </w:r>
    </w:p>
    <w:p w14:paraId="1A910E56" w14:textId="77777777" w:rsidR="001E7F45" w:rsidRPr="004C4D76" w:rsidRDefault="001E7F45" w:rsidP="001E7F45">
      <w:pPr>
        <w:pStyle w:val="Heading3"/>
      </w:pPr>
      <w:r w:rsidRPr="004C4D76">
        <w:t>Public Health advice</w:t>
      </w:r>
    </w:p>
    <w:p w14:paraId="1A910E57" w14:textId="77777777" w:rsidR="001E7F45" w:rsidRPr="004C4D76" w:rsidRDefault="001E7F45" w:rsidP="001E7F45">
      <w:r w:rsidRPr="004C4D76">
        <w:t xml:space="preserve">The Harrow Public Health team have provided advice on the risk and spread of the Coronavirus since the first case in was diagnosed in the UK. As the infection spread, PH have continued to interpret guidance and advise all health and care partners. Advice has included the appropriate use of Personal Protective Equipment (PPE) including the safe donning and doffing and facilitation of FFP3 Fit-Tests for care staff undertaking aerosol generating procedures.  </w:t>
      </w:r>
    </w:p>
    <w:p w14:paraId="1A910E58" w14:textId="77777777" w:rsidR="001E7F45" w:rsidRPr="004C4D76" w:rsidRDefault="001E7F45" w:rsidP="001E7F45">
      <w:r w:rsidRPr="004C4D76">
        <w:t xml:space="preserve">Harrow PH have worked alongside Emergency Planning, Adults &amp; </w:t>
      </w:r>
      <w:proofErr w:type="spellStart"/>
      <w:r w:rsidRPr="004C4D76">
        <w:t>Childrens</w:t>
      </w:r>
      <w:proofErr w:type="spellEnd"/>
      <w:r w:rsidRPr="004C4D76">
        <w:t xml:space="preserve"> Social Care, Education and other LBH Directorates to deliver a seamless provision of PPE and advice for front line staff in the Council, care homes, care home providers, carers and schools. </w:t>
      </w:r>
    </w:p>
    <w:p w14:paraId="1A910E59" w14:textId="77777777" w:rsidR="001E7F45" w:rsidRPr="004C4D76" w:rsidRDefault="001E7F45" w:rsidP="001E7F45">
      <w:r w:rsidRPr="004C4D76">
        <w:t xml:space="preserve">Public Health became the lead contact for the PPE orders for the West London Alliance and represents LBH at the weekly WLA teleconferences. PH also works with Emergency Planning, to monitor stock levels and as lead contact for WLA is responsible for reordering of PPE and approving invoices for payment. </w:t>
      </w:r>
    </w:p>
    <w:p w14:paraId="1A910E5A" w14:textId="77777777" w:rsidR="001E7F45" w:rsidRPr="004C4D76" w:rsidRDefault="001E7F45" w:rsidP="001E7F45">
      <w:r>
        <w:t xml:space="preserve">The </w:t>
      </w:r>
      <w:r w:rsidRPr="004C4D76">
        <w:t xml:space="preserve">Public Health </w:t>
      </w:r>
      <w:r>
        <w:t xml:space="preserve">Team </w:t>
      </w:r>
      <w:r w:rsidRPr="004C4D76">
        <w:t>ha</w:t>
      </w:r>
      <w:r>
        <w:t>s</w:t>
      </w:r>
      <w:r w:rsidRPr="004C4D76">
        <w:t xml:space="preserve"> continued to promote a healthy </w:t>
      </w:r>
      <w:proofErr w:type="gramStart"/>
      <w:r w:rsidRPr="004C4D76">
        <w:t>lifestyle, and</w:t>
      </w:r>
      <w:proofErr w:type="gramEnd"/>
      <w:r w:rsidRPr="004C4D76">
        <w:t xml:space="preserve"> suggest ways of achieving this during the pandemic.</w:t>
      </w:r>
    </w:p>
    <w:p w14:paraId="1A910E5B" w14:textId="77777777" w:rsidR="001E7F45" w:rsidRPr="004C4D76" w:rsidRDefault="001E7F45" w:rsidP="001E7F45">
      <w:pPr>
        <w:pStyle w:val="Heading3"/>
      </w:pPr>
      <w:r w:rsidRPr="004C4D76">
        <w:t>Sexual and Reproductive Health</w:t>
      </w:r>
    </w:p>
    <w:p w14:paraId="1A910E5C" w14:textId="77777777" w:rsidR="001E7F45" w:rsidRPr="004C4D76" w:rsidRDefault="001E7F45" w:rsidP="001E7F45">
      <w:r w:rsidRPr="004C4D76">
        <w:t xml:space="preserve">During the Covid-19 pandemic, the Harrow Integrated Sexual &amp; Reproductive Health Service (delivered by </w:t>
      </w:r>
      <w:proofErr w:type="gramStart"/>
      <w:r w:rsidRPr="004C4D76">
        <w:t>LNWHT)  nursing</w:t>
      </w:r>
      <w:proofErr w:type="gramEnd"/>
      <w:r w:rsidRPr="004C4D76">
        <w:t xml:space="preserve"> staff were deployed to the acute unit and </w:t>
      </w:r>
      <w:proofErr w:type="spellStart"/>
      <w:r w:rsidRPr="004C4D76">
        <w:t>wthe</w:t>
      </w:r>
      <w:proofErr w:type="spellEnd"/>
      <w:r w:rsidRPr="004C4D76">
        <w:t xml:space="preserve"> service was remodelled. The new service delivers a telephone consultation, prescribing and referral to a clinic appointment for emergency treatment and/or vulnerable groups. There is also an increased offer via the Sexual Health London E-Service to include simple symptomatic testing and treatment.  Early Hormonal contraception remains available at </w:t>
      </w:r>
      <w:proofErr w:type="gramStart"/>
      <w:r w:rsidRPr="004C4D76">
        <w:t>a number of</w:t>
      </w:r>
      <w:proofErr w:type="gramEnd"/>
      <w:r w:rsidRPr="004C4D76">
        <w:t xml:space="preserve"> pharmacies in Harrow. </w:t>
      </w:r>
      <w:r w:rsidRPr="004C4D76">
        <w:rPr>
          <w:bCs/>
        </w:rPr>
        <w:t xml:space="preserve">Outreach for young people is limited and the </w:t>
      </w:r>
      <w:r w:rsidRPr="004C4D76">
        <w:t xml:space="preserve">C-card remains available for those already signed up however this is limited to Pharmacies as colleges and other sites are closed. </w:t>
      </w:r>
    </w:p>
    <w:p w14:paraId="1A910E5D" w14:textId="77777777" w:rsidR="001E7F45" w:rsidRPr="004C4D76" w:rsidRDefault="001E7F45" w:rsidP="001E7F45">
      <w:pPr>
        <w:rPr>
          <w:u w:val="single"/>
        </w:rPr>
      </w:pPr>
      <w:r w:rsidRPr="004C4D76">
        <w:t xml:space="preserve">LNWHT services are described at: </w:t>
      </w:r>
      <w:hyperlink r:id="rId26" w:history="1">
        <w:r w:rsidRPr="004C4D76">
          <w:rPr>
            <w:rStyle w:val="Hyperlink"/>
          </w:rPr>
          <w:t>www.nwlondonsexualhealth.nhs.uk</w:t>
        </w:r>
      </w:hyperlink>
    </w:p>
    <w:p w14:paraId="1A910E5E" w14:textId="77777777" w:rsidR="001E7F45" w:rsidRPr="004C4D76" w:rsidRDefault="001E7F45" w:rsidP="001E7F45">
      <w:pPr>
        <w:pStyle w:val="Heading3"/>
      </w:pPr>
      <w:r w:rsidRPr="004C4D76">
        <w:t>Substance Misuse</w:t>
      </w:r>
    </w:p>
    <w:p w14:paraId="1A910E5F" w14:textId="77777777" w:rsidR="001E7F45" w:rsidRPr="004C4D76" w:rsidRDefault="001E7F45" w:rsidP="001E7F45">
      <w:r w:rsidRPr="004C4D76">
        <w:t>Substance misuse includes the use and misuse of alcohol, illicit and prescribed drugs and tobacco. The following commissioned services have remodelled their offer during the pandemic:</w:t>
      </w:r>
    </w:p>
    <w:p w14:paraId="1A910E60" w14:textId="77777777" w:rsidR="001E7F45" w:rsidRPr="004C4D76" w:rsidRDefault="001E7F45" w:rsidP="001E7F45">
      <w:r w:rsidRPr="004C4D76">
        <w:t xml:space="preserve">In Harrow the Westminster Drug Project (WDP) provides an over 18 service to residents. WDP delivers virtual support to service users and the assessment/treatment hub remains open for medical </w:t>
      </w:r>
      <w:r w:rsidRPr="004C4D76">
        <w:lastRenderedPageBreak/>
        <w:t xml:space="preserve">assessment and high risk/urgent care. Increased collaboration with Pharmacies has included prescription collection at these sites instead of the WDP base. Telephone: 0300303 2868. Email: </w:t>
      </w:r>
      <w:hyperlink r:id="rId27" w:history="1">
        <w:r w:rsidRPr="004C4D76">
          <w:rPr>
            <w:rStyle w:val="Hyperlink"/>
          </w:rPr>
          <w:t>harrow@wdp.org.uk</w:t>
        </w:r>
      </w:hyperlink>
      <w:r w:rsidRPr="004C4D76">
        <w:t xml:space="preserve">. The WDP also provide a smoking cessation service: </w:t>
      </w:r>
      <w:hyperlink r:id="rId28" w:history="1">
        <w:r w:rsidRPr="004C4D76">
          <w:rPr>
            <w:rStyle w:val="Hyperlink"/>
          </w:rPr>
          <w:t>HarrowStopSmoking@wdp.org.uk</w:t>
        </w:r>
      </w:hyperlink>
      <w:r>
        <w:t xml:space="preserve"> which has continued to provide a virtual service for smokers wishing to quit due to the higher risk of serious harm if they get COVID-19</w:t>
      </w:r>
      <w:r w:rsidRPr="004C4D76">
        <w:t>.</w:t>
      </w:r>
    </w:p>
    <w:p w14:paraId="1A910E61" w14:textId="77777777" w:rsidR="001E7F45" w:rsidRPr="004C4D76" w:rsidRDefault="001E7F45" w:rsidP="001E7F45">
      <w:r w:rsidRPr="004C4D76">
        <w:t xml:space="preserve">The Young People’s Substance Misuse Service is delivered in Harrow by Compass. The service is operating remotely, however young people will be seen if there is an urgent need/risk </w:t>
      </w:r>
      <w:proofErr w:type="gramStart"/>
      <w:r w:rsidRPr="004C4D76">
        <w:t>and also</w:t>
      </w:r>
      <w:proofErr w:type="gramEnd"/>
      <w:r w:rsidRPr="004C4D76">
        <w:t xml:space="preserve"> as part of wraparound care with other agencies i.e. children’s service.  Telephone: 020 8861 2787 Email: </w:t>
      </w:r>
      <w:hyperlink r:id="rId29" w:history="1">
        <w:r w:rsidRPr="004C4D76">
          <w:rPr>
            <w:rStyle w:val="Hyperlink"/>
          </w:rPr>
          <w:t>adminharrow@compass-uk.org</w:t>
        </w:r>
      </w:hyperlink>
      <w:r w:rsidRPr="004C4D76">
        <w:t xml:space="preserve"> </w:t>
      </w:r>
    </w:p>
    <w:p w14:paraId="1A910E62" w14:textId="77777777" w:rsidR="001E7F45" w:rsidRPr="004C4D76" w:rsidRDefault="001E7F45" w:rsidP="001E7F45">
      <w:pPr>
        <w:pStyle w:val="Heading3"/>
      </w:pPr>
      <w:r w:rsidRPr="004C4D76">
        <w:t>Weight Management in Harrow</w:t>
      </w:r>
    </w:p>
    <w:p w14:paraId="1A910E63" w14:textId="77777777" w:rsidR="001E7F45" w:rsidRPr="004C4D76" w:rsidRDefault="001E7F45" w:rsidP="001E7F45">
      <w:r w:rsidRPr="004C4D76">
        <w:t xml:space="preserve">A </w:t>
      </w:r>
      <w:proofErr w:type="gramStart"/>
      <w:r w:rsidRPr="004C4D76">
        <w:t>12 week</w:t>
      </w:r>
      <w:proofErr w:type="gramEnd"/>
      <w:r w:rsidRPr="004C4D76">
        <w:t xml:space="preserve"> weight management service is being delivered in association with the Watford Football Clubs Community Sports and Education Trust. Over the past few years over 120 people have been support in Harrow to reducing their weight and taking up more regular exercise and a pilot was run which provided important insights on accessibility for our priority communities that have informed the continuation of the service this year.</w:t>
      </w:r>
    </w:p>
    <w:p w14:paraId="1A910E64" w14:textId="77777777" w:rsidR="001E7F45" w:rsidRDefault="001E7F45" w:rsidP="001E7F45">
      <w:r w:rsidRPr="004C4D76">
        <w:t xml:space="preserve">The service model has shown agility in the last few months and adapted to provide an online service, with a digital app due to release later in the year as planned. The South Harrow Physical Activity Community Champion project has been paused during the </w:t>
      </w:r>
      <w:proofErr w:type="gramStart"/>
      <w:r w:rsidRPr="004C4D76">
        <w:t>pandemic</w:t>
      </w:r>
      <w:proofErr w:type="gramEnd"/>
      <w:r w:rsidRPr="004C4D76">
        <w:t xml:space="preserve"> but we hope this will continue later this year as part of the delivery of the Active Harrow Strategy.</w:t>
      </w:r>
    </w:p>
    <w:p w14:paraId="1A910E65" w14:textId="77777777" w:rsidR="00A673AB" w:rsidRPr="004C4D76" w:rsidRDefault="00A673AB" w:rsidP="00A64D64">
      <w:pPr>
        <w:pStyle w:val="Heading3"/>
      </w:pPr>
      <w:r w:rsidRPr="004C4D76">
        <w:t>Health Visiting and School Nursing Service (0-19 Service)</w:t>
      </w:r>
      <w:r w:rsidR="00A64D64" w:rsidRPr="00A64D64">
        <w:t xml:space="preserve"> </w:t>
      </w:r>
      <w:r w:rsidR="00A64D64">
        <w:t xml:space="preserve">and the </w:t>
      </w:r>
      <w:r w:rsidR="00A64D64" w:rsidRPr="004C4D76">
        <w:t>Nation</w:t>
      </w:r>
      <w:r w:rsidR="00A64D64">
        <w:t xml:space="preserve">al Child Measurement Programme </w:t>
      </w:r>
    </w:p>
    <w:p w14:paraId="1A910E66" w14:textId="77777777" w:rsidR="00A673AB" w:rsidRPr="004C4D76" w:rsidRDefault="00A673AB" w:rsidP="00A673AB">
      <w:r w:rsidRPr="004C4D76">
        <w:t xml:space="preserve">There is a combined health visiting and school nursing services for </w:t>
      </w:r>
      <w:proofErr w:type="gramStart"/>
      <w:r w:rsidRPr="004C4D76">
        <w:t>0-19 year</w:t>
      </w:r>
      <w:proofErr w:type="gramEnd"/>
      <w:r w:rsidRPr="004C4D76">
        <w:t xml:space="preserve"> olds in Harrow</w:t>
      </w:r>
      <w:r w:rsidR="00837E4E" w:rsidRPr="00837E4E">
        <w:t xml:space="preserve"> </w:t>
      </w:r>
      <w:r w:rsidR="00837E4E" w:rsidRPr="004C4D76">
        <w:t>provided by CNWL</w:t>
      </w:r>
      <w:r w:rsidRPr="004C4D76">
        <w:t xml:space="preserve">. Harrow Health Visiting Service provides advice, support and intervention to families with children in the first years of life. The specialist team is led by health visitors, and is supported by community staff nurses, nursery nurses and administrative staff. This service is for children from birth to five years of age, and they can also offer support before baby arrives. </w:t>
      </w:r>
      <w:r w:rsidRPr="004C4D76">
        <w:rPr>
          <w:vertAlign w:val="superscript"/>
        </w:rPr>
        <w:endnoteReference w:id="20"/>
      </w:r>
      <w:r w:rsidRPr="004C4D76">
        <w:t xml:space="preserve"> A child’s care is transferred to a school nurse at the age of five. School health nurses are part of the Harrow School Health Service which supports the health needs of school age children, up to 19 years of age.</w:t>
      </w:r>
      <w:r w:rsidRPr="004C4D76">
        <w:rPr>
          <w:vertAlign w:val="superscript"/>
        </w:rPr>
        <w:endnoteReference w:id="21"/>
      </w:r>
    </w:p>
    <w:p w14:paraId="1A910E67" w14:textId="77777777" w:rsidR="00837E4E" w:rsidRDefault="00837E4E" w:rsidP="00837E4E">
      <w:r w:rsidRPr="004C4D76">
        <w:t xml:space="preserve">There has been prioritisation of community health services during the pandemic resulting in reduced services by the health visiting and school health teams. </w:t>
      </w:r>
      <w:r>
        <w:t>A</w:t>
      </w:r>
      <w:r w:rsidRPr="004C4D76">
        <w:t xml:space="preserve">pproximately 30% of staff </w:t>
      </w:r>
      <w:r>
        <w:t xml:space="preserve">were </w:t>
      </w:r>
      <w:r w:rsidRPr="004C4D76">
        <w:t>redeployed to support other services.</w:t>
      </w:r>
      <w:r w:rsidR="00C23AFB" w:rsidRPr="00C23AFB">
        <w:t xml:space="preserve"> </w:t>
      </w:r>
      <w:r w:rsidR="00C23AFB">
        <w:t xml:space="preserve"> Understandably, </w:t>
      </w:r>
      <w:r w:rsidR="00C23AFB" w:rsidRPr="004C4D76">
        <w:t>Q4 19-20 saw a slight dip for some of the indicators as it was affected by services ceasing i</w:t>
      </w:r>
      <w:r w:rsidR="00C23AFB">
        <w:t>n the last week of March 2020.</w:t>
      </w:r>
    </w:p>
    <w:p w14:paraId="1A910E68" w14:textId="77777777" w:rsidR="00837E4E" w:rsidRPr="004C4D76" w:rsidRDefault="00837E4E" w:rsidP="00837E4E">
      <w:r w:rsidRPr="004C4D76">
        <w:t>The Health Visiting service has prioritised antenatal contact and new baby visits. Children are also assessed for vulnerability or clinical need and may consequently receive a virtual or a face to face visit.</w:t>
      </w:r>
      <w:r w:rsidRPr="00837E4E">
        <w:t xml:space="preserve"> </w:t>
      </w:r>
      <w:r w:rsidRPr="004C4D76">
        <w:t xml:space="preserve">Telephone advice, support to the most vulnerable </w:t>
      </w:r>
      <w:r w:rsidRPr="004C4D76">
        <w:lastRenderedPageBreak/>
        <w:t>families and safeguarding work also continue during the pandemic.</w:t>
      </w:r>
      <w:r w:rsidRPr="004C4D76">
        <w:rPr>
          <w:vertAlign w:val="superscript"/>
        </w:rPr>
        <w:endnoteReference w:id="22"/>
      </w:r>
      <w:r w:rsidRPr="00837E4E">
        <w:t xml:space="preserve"> </w:t>
      </w:r>
      <w:r w:rsidRPr="004C4D76">
        <w:t>Furthermore, the service has had to adapt delivering most services remotely. A clinic was set up for those who needed to a face-to-face appointment where staff with PPE could see them, and the service has increased its team available by phone for support and advice.</w:t>
      </w:r>
      <w:r>
        <w:t xml:space="preserve"> </w:t>
      </w:r>
      <w:r w:rsidRPr="00837E4E">
        <w:t xml:space="preserve"> </w:t>
      </w:r>
      <w:r w:rsidRPr="004C4D76">
        <w:t xml:space="preserve">The service is </w:t>
      </w:r>
      <w:r>
        <w:t xml:space="preserve">now </w:t>
      </w:r>
      <w:r w:rsidRPr="004C4D76">
        <w:t xml:space="preserve">working on the recovery plan and how to deliver services safely and effectively. </w:t>
      </w:r>
    </w:p>
    <w:tbl>
      <w:tblPr>
        <w:tblStyle w:val="TableGrid"/>
        <w:tblW w:w="0" w:type="auto"/>
        <w:tblLook w:val="04A0" w:firstRow="1" w:lastRow="0" w:firstColumn="1" w:lastColumn="0" w:noHBand="0" w:noVBand="1"/>
      </w:tblPr>
      <w:tblGrid>
        <w:gridCol w:w="6841"/>
      </w:tblGrid>
      <w:tr w:rsidR="00C23AFB" w:rsidRPr="004C4D76" w14:paraId="1A910E6B" w14:textId="77777777" w:rsidTr="00AE6977">
        <w:tc>
          <w:tcPr>
            <w:tcW w:w="6841" w:type="dxa"/>
            <w:shd w:val="clear" w:color="auto" w:fill="F2F2F2" w:themeFill="background1" w:themeFillShade="F2"/>
          </w:tcPr>
          <w:p w14:paraId="1A910E69" w14:textId="77777777" w:rsidR="00C23AFB" w:rsidRPr="004C4D76" w:rsidRDefault="00C23AFB" w:rsidP="00AE6977">
            <w:pPr>
              <w:spacing w:after="200" w:line="276" w:lineRule="auto"/>
            </w:pPr>
            <w:r w:rsidRPr="004C4D76">
              <w:t>One mum said:</w:t>
            </w:r>
          </w:p>
          <w:p w14:paraId="1A910E6A" w14:textId="77777777" w:rsidR="00C23AFB" w:rsidRPr="004C4D76" w:rsidRDefault="00C23AFB" w:rsidP="00AE6977">
            <w:pPr>
              <w:spacing w:after="200" w:line="276" w:lineRule="auto"/>
            </w:pPr>
            <w:r w:rsidRPr="004C4D76">
              <w:t>“I was so grateful for the telephone support I received from the Health Visitor. I felt she really listened to my concerns.”</w:t>
            </w:r>
          </w:p>
        </w:tc>
      </w:tr>
    </w:tbl>
    <w:p w14:paraId="1A910E6C" w14:textId="77777777" w:rsidR="00C23AFB" w:rsidRPr="00C23AFB" w:rsidRDefault="00C23AFB" w:rsidP="00C23AFB"/>
    <w:p w14:paraId="1A910E6D" w14:textId="77777777" w:rsidR="00A64D64" w:rsidRPr="004C4D76" w:rsidRDefault="001E7F45" w:rsidP="00A64D64">
      <w:r w:rsidRPr="004C4D76">
        <w:t xml:space="preserve">The School Nursing service </w:t>
      </w:r>
      <w:r w:rsidR="00C23AFB">
        <w:t>w</w:t>
      </w:r>
      <w:r w:rsidR="0047132D">
        <w:t>as</w:t>
      </w:r>
      <w:r w:rsidR="00C23AFB">
        <w:t xml:space="preserve"> also</w:t>
      </w:r>
      <w:r w:rsidRPr="004C4D76">
        <w:t xml:space="preserve"> redeployed as schools closed. Health assessments for vulnerable young people continued but most other activity stopped. </w:t>
      </w:r>
      <w:r w:rsidR="00A64D64">
        <w:t xml:space="preserve"> </w:t>
      </w:r>
      <w:r w:rsidR="00A64D64" w:rsidRPr="004C4D76">
        <w:t xml:space="preserve">Child measurements for the </w:t>
      </w:r>
      <w:r w:rsidR="00A64D64" w:rsidRPr="00A64D64">
        <w:t xml:space="preserve">National Child Measurement Programme </w:t>
      </w:r>
      <w:r w:rsidR="00A64D64">
        <w:t>(</w:t>
      </w:r>
      <w:r w:rsidR="00A64D64" w:rsidRPr="004C4D76">
        <w:t>NCMP</w:t>
      </w:r>
      <w:r w:rsidR="00A64D64">
        <w:t>)</w:t>
      </w:r>
      <w:r w:rsidR="00A64D64" w:rsidRPr="004C4D76">
        <w:t xml:space="preserve"> 2019/20 school year were suspended with the school closures. The school nursing team in Harrow had up until then completed around 70% of all measurements of children attending Harrow schools, however as we are were in the early stages of measurements, this data now needs to be validated by Public Health </w:t>
      </w:r>
      <w:proofErr w:type="gramStart"/>
      <w:r w:rsidR="00A64D64" w:rsidRPr="004C4D76">
        <w:t>Intelligence .</w:t>
      </w:r>
      <w:proofErr w:type="gramEnd"/>
      <w:r w:rsidR="00A64D64" w:rsidRPr="004C4D76">
        <w:t xml:space="preserve"> In previous years, Harrow has submitted high quality data, with participation rates of 95% and above. Public Health England and the NHS Digital NCMP team have indicated that a lower level of participation would </w:t>
      </w:r>
      <w:r w:rsidR="00A64D64" w:rsidRPr="004C4D76">
        <w:t>be accepted this year, and they have not yet provided guidance for the 2020/21 programme.</w:t>
      </w:r>
    </w:p>
    <w:p w14:paraId="1A910E6E" w14:textId="77777777" w:rsidR="001E7F45" w:rsidRPr="004C4D76" w:rsidRDefault="001E7F45" w:rsidP="001E7F45">
      <w:r w:rsidRPr="004C4D76">
        <w:t xml:space="preserve">The </w:t>
      </w:r>
      <w:proofErr w:type="gramStart"/>
      <w:r w:rsidRPr="004C4D76">
        <w:t>school based</w:t>
      </w:r>
      <w:proofErr w:type="gramEnd"/>
      <w:r w:rsidRPr="004C4D76">
        <w:t xml:space="preserve"> immunisations services are provided by CLCH. Scheduled immunisations that have not taken place will need to be caught up to avoid an unmanageable demand for services. Plans are being developed to organise appropriate catch up clinics prior to the Autumn term. </w:t>
      </w:r>
    </w:p>
    <w:p w14:paraId="1A910E6F" w14:textId="77777777" w:rsidR="001E7F45" w:rsidRPr="004C4D76" w:rsidRDefault="001E7F45" w:rsidP="001E7F45">
      <w:pPr>
        <w:pStyle w:val="Heading3"/>
      </w:pPr>
      <w:r w:rsidRPr="004C4D76">
        <w:t>NHS Health checks</w:t>
      </w:r>
    </w:p>
    <w:p w14:paraId="1A910E70" w14:textId="77777777" w:rsidR="001D1A21" w:rsidRPr="004C4D76" w:rsidRDefault="001E7F45" w:rsidP="001E7F45">
      <w:r w:rsidRPr="004C4D76">
        <w:t>The NHS Health Check programme</w:t>
      </w:r>
      <w:r w:rsidR="00A64D64">
        <w:t>, which looks for undiagnosed cardiovascular and other disease</w:t>
      </w:r>
      <w:r w:rsidR="001D1A21">
        <w:t xml:space="preserve">s and seeks to support behaviour change to reduce the future </w:t>
      </w:r>
      <w:proofErr w:type="gramStart"/>
      <w:r w:rsidR="001D1A21">
        <w:t xml:space="preserve">risk, </w:t>
      </w:r>
      <w:r w:rsidRPr="004C4D76">
        <w:t xml:space="preserve"> has</w:t>
      </w:r>
      <w:proofErr w:type="gramEnd"/>
      <w:r w:rsidRPr="004C4D76">
        <w:t xml:space="preserve"> been paused during the pandemic.</w:t>
      </w:r>
    </w:p>
    <w:p w14:paraId="1A910E71" w14:textId="77777777" w:rsidR="004C4D76" w:rsidRPr="004C4D76" w:rsidRDefault="001E7F45" w:rsidP="001E7F45">
      <w:pPr>
        <w:pStyle w:val="Heading2"/>
      </w:pPr>
      <w:r>
        <w:t xml:space="preserve">Impact on </w:t>
      </w:r>
      <w:r w:rsidR="004C4D76" w:rsidRPr="004C4D76">
        <w:t>Mental health, stress and anxiety</w:t>
      </w:r>
    </w:p>
    <w:p w14:paraId="1A910E72" w14:textId="77777777" w:rsidR="004C4D76" w:rsidRPr="004C4D76" w:rsidRDefault="004C4D76" w:rsidP="004C4D76">
      <w:pPr>
        <w:rPr>
          <w:b/>
        </w:rPr>
      </w:pPr>
      <w:r w:rsidRPr="004C4D76">
        <w:t>Mental health, stress and anxiety are all forms of poor mental health. One-in-four adults and one-in-ten children experience mental illness during their lifetime. Improved mental health and wellbeing is associated with a range of better outcomes for people of all ages and backgrounds. These include better physical health, lower levels of smoking and alcohol misuse, improved employment rates, productivity and a lower risk of self-harm and suicide:</w:t>
      </w:r>
      <w:r w:rsidRPr="004C4D76">
        <w:rPr>
          <w:vertAlign w:val="superscript"/>
        </w:rPr>
        <w:endnoteReference w:id="23"/>
      </w:r>
      <w:r w:rsidRPr="004C4D76">
        <w:t xml:space="preserve"> Most mental disorders are more common in people living alone, in poor physical health and not employed.</w:t>
      </w:r>
      <w:r w:rsidRPr="004C4D76">
        <w:rPr>
          <w:vertAlign w:val="superscript"/>
        </w:rPr>
        <w:t xml:space="preserve"> </w:t>
      </w:r>
      <w:r w:rsidRPr="004C4D76">
        <w:rPr>
          <w:vertAlign w:val="superscript"/>
        </w:rPr>
        <w:endnoteReference w:id="24"/>
      </w:r>
      <w:r w:rsidRPr="004C4D76">
        <w:rPr>
          <w:vertAlign w:val="superscript"/>
        </w:rPr>
        <w:endnoteReference w:id="25"/>
      </w:r>
      <w:r w:rsidRPr="004C4D76">
        <w:t xml:space="preserve"> </w:t>
      </w:r>
    </w:p>
    <w:p w14:paraId="1A910E73" w14:textId="77777777" w:rsidR="004C4D76" w:rsidRPr="004C4D76" w:rsidRDefault="004C4D76" w:rsidP="004C4D76">
      <w:r w:rsidRPr="004C4D76">
        <w:lastRenderedPageBreak/>
        <w:t>Failure to address poor mental health and conduct disorder in childhood results in higher risk of suicide, substance misuse, self- harm, lower educational and employment achievement.</w:t>
      </w:r>
      <w:r w:rsidRPr="004C4D76">
        <w:rPr>
          <w:vertAlign w:val="superscript"/>
        </w:rPr>
        <w:endnoteReference w:id="26"/>
      </w:r>
    </w:p>
    <w:p w14:paraId="1A910E74" w14:textId="77777777" w:rsidR="004C4D76" w:rsidRPr="004C4D76" w:rsidRDefault="004C4D76" w:rsidP="004C4D76">
      <w:r w:rsidRPr="004C4D76">
        <w:t xml:space="preserve">In England, one in eight </w:t>
      </w:r>
      <w:proofErr w:type="gramStart"/>
      <w:r w:rsidRPr="004C4D76">
        <w:t>5-19 year</w:t>
      </w:r>
      <w:proofErr w:type="gramEnd"/>
      <w:r w:rsidRPr="004C4D76">
        <w:t xml:space="preserve"> olds have at least one mental disorder, with young women at particularly high risk (23.9% of 17-19 year old girls have a mental disorder). One adult in six have a common mental disorder (e.g. depression and generalised anxiety disorder) and less than one adult in a hundred (0.7%) have a psychotic disorder such as schizophrenia. Up to 15% of older people have a common mental disorder, and an estimated 60% of older people living in residential institutions are reported to have poor mental health.</w:t>
      </w:r>
      <w:r w:rsidRPr="004C4D76">
        <w:rPr>
          <w:vertAlign w:val="superscript"/>
        </w:rPr>
        <w:endnoteReference w:id="27"/>
      </w:r>
      <w:r w:rsidRPr="004C4D76">
        <w:t xml:space="preserve"> </w:t>
      </w:r>
    </w:p>
    <w:p w14:paraId="1A910E75" w14:textId="77777777" w:rsidR="004C4D76" w:rsidRPr="004C4D76" w:rsidRDefault="004C4D76" w:rsidP="004C4D76">
      <w:r w:rsidRPr="004C4D76">
        <w:t>Mental illness has a healthcare and human cost, in addition to a social and economic one. This can include the costs of health and social care for people with mental health problems and lost output in the economy (sickness absence, unemployment). The wider costs to the UK economy are estimated at £70-100 billion per year.</w:t>
      </w:r>
      <w:r w:rsidRPr="004C4D76">
        <w:rPr>
          <w:vertAlign w:val="superscript"/>
        </w:rPr>
        <w:endnoteReference w:id="28"/>
      </w:r>
      <w:r w:rsidRPr="004C4D76">
        <w:rPr>
          <w:vertAlign w:val="superscript"/>
        </w:rPr>
        <w:t xml:space="preserve"> </w:t>
      </w:r>
      <w:r w:rsidRPr="004C4D76">
        <w:t>There are substantial potential gains for improving mental health, including increased self‐esteem, quality of life, productivity, economic benefits and a reduction in the burden on health services</w:t>
      </w:r>
      <w:bookmarkStart w:id="11" w:name="_Ref30016932"/>
      <w:r w:rsidRPr="004C4D76">
        <w:rPr>
          <w:vertAlign w:val="superscript"/>
        </w:rPr>
        <w:endnoteReference w:id="29"/>
      </w:r>
      <w:bookmarkEnd w:id="11"/>
      <w:r w:rsidRPr="004C4D76">
        <w:t xml:space="preserve">. </w:t>
      </w:r>
    </w:p>
    <w:p w14:paraId="1A910E76" w14:textId="77777777" w:rsidR="004C4D76" w:rsidRPr="004C4D76" w:rsidRDefault="004C4D76" w:rsidP="00336AEA">
      <w:pPr>
        <w:pStyle w:val="Heading3"/>
      </w:pPr>
      <w:r w:rsidRPr="004C4D76">
        <w:t>Impact of COVID-19</w:t>
      </w:r>
    </w:p>
    <w:p w14:paraId="1A910E77" w14:textId="77777777" w:rsidR="004C4D76" w:rsidRPr="004C4D76" w:rsidRDefault="004C4D76" w:rsidP="004C4D76">
      <w:r w:rsidRPr="004C4D76">
        <w:t>Recent surveys in the UK reveal widespread uncertainty and heightened anxiety caused by the pandemic.</w:t>
      </w:r>
      <w:r w:rsidRPr="004C4D76">
        <w:rPr>
          <w:vertAlign w:val="superscript"/>
        </w:rPr>
        <w:endnoteReference w:id="30"/>
      </w:r>
      <w:r w:rsidRPr="004C4D76">
        <w:t xml:space="preserve"> The restrictions have resulted in changes in behaviour, and subsequent negative </w:t>
      </w:r>
      <w:r w:rsidRPr="004C4D76">
        <w:t>impact on people’s welfare and wellbeing. In April 2020, half of people (49%) surveyed in the UK reported feeling more anxious and depressed than normal, and over a third slept less or worse than usual (38%).</w:t>
      </w:r>
      <w:r w:rsidRPr="004C4D76">
        <w:rPr>
          <w:vertAlign w:val="superscript"/>
        </w:rPr>
        <w:endnoteReference w:id="31"/>
      </w:r>
      <w:r w:rsidRPr="004C4D76">
        <w:t xml:space="preserve"> </w:t>
      </w:r>
    </w:p>
    <w:p w14:paraId="1A910E78" w14:textId="77777777" w:rsidR="004C4D76" w:rsidRPr="004C4D76" w:rsidRDefault="004C4D76" w:rsidP="004C4D76">
      <w:r w:rsidRPr="004C4D76">
        <w:t>A significant number of people also report not being able to get the mental health support they need during the lockdown. Mind, the mental health charity, found that almost a quarter of people who have tried to access mental health services in the last two weeks have been unable to access services. This may be due to difficulties accessing GP, Community Mental Health Teams and crisis services, cancelled appointments or issues with using phone or video call technology.</w:t>
      </w:r>
      <w:r w:rsidRPr="004C4D76">
        <w:rPr>
          <w:vertAlign w:val="superscript"/>
        </w:rPr>
        <w:endnoteReference w:id="32"/>
      </w:r>
      <w:r w:rsidR="00336AEA" w:rsidRPr="00336AEA">
        <w:t xml:space="preserve"> </w:t>
      </w:r>
      <w:r w:rsidR="00336AEA">
        <w:t xml:space="preserve">It is expected that the impact of the pandemic on mental health and wellbeing will be significant and long lasting.  </w:t>
      </w:r>
    </w:p>
    <w:p w14:paraId="1A910E79" w14:textId="77777777" w:rsidR="004C4D76" w:rsidRPr="004C4D76" w:rsidRDefault="00336AEA" w:rsidP="00336AEA">
      <w:pPr>
        <w:pStyle w:val="Heading3"/>
      </w:pPr>
      <w:r>
        <w:t>Getting help on mental health</w:t>
      </w:r>
    </w:p>
    <w:p w14:paraId="1A910E7A" w14:textId="77777777" w:rsidR="004C4D76" w:rsidRPr="004C4D76" w:rsidRDefault="004C4D76" w:rsidP="004C4D76">
      <w:r w:rsidRPr="004C4D76">
        <w:t xml:space="preserve">Harrow has a mental health service directory hosted by Mind. The services include counselling services, statutory social work services, and healthcare services. </w:t>
      </w:r>
      <w:hyperlink r:id="rId30" w:history="1">
        <w:r w:rsidRPr="004C4D76">
          <w:rPr>
            <w:rStyle w:val="Hyperlink"/>
          </w:rPr>
          <w:t>http://directory.mindinharrow.org.uk</w:t>
        </w:r>
      </w:hyperlink>
      <w:r w:rsidRPr="004C4D76">
        <w:t xml:space="preserve"> </w:t>
      </w:r>
    </w:p>
    <w:p w14:paraId="1A910E7B" w14:textId="77777777" w:rsidR="004C4D76" w:rsidRPr="004C4D76" w:rsidRDefault="004C4D76" w:rsidP="004C4D76">
      <w:r w:rsidRPr="004C4D76">
        <w:t xml:space="preserve">Since 2016, the Public Health Team have invested in the Mental Health First Aid (MHFA) provision in Harrow. MHFA training helps individuals to support and signpost people that may have a mental health problem. Over 150 people have been trained so far. </w:t>
      </w:r>
    </w:p>
    <w:p w14:paraId="1A910E7C" w14:textId="77777777" w:rsidR="004C4D76" w:rsidRPr="004C4D76" w:rsidRDefault="004C4D76" w:rsidP="004C4D76">
      <w:r w:rsidRPr="004C4D76">
        <w:t xml:space="preserve">In response to the </w:t>
      </w:r>
      <w:proofErr w:type="spellStart"/>
      <w:r w:rsidRPr="004C4D76">
        <w:t>Covid</w:t>
      </w:r>
      <w:proofErr w:type="spellEnd"/>
      <w:r w:rsidRPr="004C4D76">
        <w:t xml:space="preserve"> pandemic the national psychological first aid (PFA) course has been launched by the UK Government.  PFA </w:t>
      </w:r>
      <w:r w:rsidRPr="001E7F45">
        <w:t xml:space="preserve">is </w:t>
      </w:r>
      <w:r w:rsidRPr="004C4D76">
        <w:t xml:space="preserve">the </w:t>
      </w:r>
      <w:r w:rsidRPr="001E7F45">
        <w:t>globally reco</w:t>
      </w:r>
      <w:r w:rsidRPr="004C4D76">
        <w:t xml:space="preserve">gnised training for </w:t>
      </w:r>
      <w:r w:rsidRPr="001E7F45">
        <w:t xml:space="preserve">delivering psychosocial care in </w:t>
      </w:r>
      <w:r w:rsidRPr="001E7F45">
        <w:lastRenderedPageBreak/>
        <w:t xml:space="preserve">the aftermath of </w:t>
      </w:r>
      <w:r w:rsidRPr="004C4D76">
        <w:t>an</w:t>
      </w:r>
      <w:r w:rsidRPr="001E7F45">
        <w:t xml:space="preserve"> emergency event.</w:t>
      </w:r>
      <w:r w:rsidRPr="004C4D76">
        <w:t xml:space="preserve"> The course</w:t>
      </w:r>
      <w:r w:rsidRPr="001E7F45">
        <w:t xml:space="preserve"> explore</w:t>
      </w:r>
      <w:r w:rsidRPr="004C4D76">
        <w:t>s</w:t>
      </w:r>
      <w:r w:rsidRPr="001E7F45">
        <w:t xml:space="preserve"> the psychological impact of the COVID-19 pandemic and what you can do to help people cope</w:t>
      </w:r>
      <w:r w:rsidRPr="004C4D76">
        <w:t xml:space="preserve">. </w:t>
      </w:r>
    </w:p>
    <w:p w14:paraId="1A910E7D" w14:textId="77777777" w:rsidR="004C4D76" w:rsidRDefault="00F00FD8" w:rsidP="004C4D76">
      <w:hyperlink r:id="rId31" w:history="1">
        <w:r w:rsidR="004C4D76" w:rsidRPr="004C4D76">
          <w:rPr>
            <w:rStyle w:val="Hyperlink"/>
          </w:rPr>
          <w:t>https://www.futurelearn.com/courses/psychological-first-aid-covid-19</w:t>
        </w:r>
      </w:hyperlink>
    </w:p>
    <w:p w14:paraId="1A910E7E" w14:textId="77777777" w:rsidR="004C4D76" w:rsidRPr="004C4D76" w:rsidRDefault="004C4D76" w:rsidP="00336AEA">
      <w:pPr>
        <w:pStyle w:val="Heading3"/>
      </w:pPr>
      <w:r w:rsidRPr="004C4D76">
        <w:t>Key communication messages</w:t>
      </w:r>
    </w:p>
    <w:p w14:paraId="1A910E7F" w14:textId="77777777" w:rsidR="004C4D76" w:rsidRPr="004C4D76" w:rsidRDefault="004C4D76" w:rsidP="004C4D76">
      <w:pPr>
        <w:numPr>
          <w:ilvl w:val="0"/>
          <w:numId w:val="45"/>
        </w:numPr>
      </w:pPr>
      <w:r w:rsidRPr="004C4D76">
        <w:t>Promote the Mental Health First Aid and the Psychological Frist Aid Training</w:t>
      </w:r>
    </w:p>
    <w:p w14:paraId="1A910E80" w14:textId="77777777" w:rsidR="004C4D76" w:rsidRPr="001E7F45" w:rsidRDefault="004C4D76" w:rsidP="004C4D76">
      <w:pPr>
        <w:numPr>
          <w:ilvl w:val="0"/>
          <w:numId w:val="45"/>
        </w:numPr>
      </w:pPr>
      <w:r w:rsidRPr="004C4D76">
        <w:t>Promote the 5 ways to wellbeing</w:t>
      </w:r>
    </w:p>
    <w:tbl>
      <w:tblPr>
        <w:tblStyle w:val="TableGrid"/>
        <w:tblW w:w="0" w:type="auto"/>
        <w:shd w:val="clear" w:color="auto" w:fill="F2F2F2" w:themeFill="background1" w:themeFillShade="F2"/>
        <w:tblLook w:val="04A0" w:firstRow="1" w:lastRow="0" w:firstColumn="1" w:lastColumn="0" w:noHBand="0" w:noVBand="1"/>
      </w:tblPr>
      <w:tblGrid>
        <w:gridCol w:w="6841"/>
      </w:tblGrid>
      <w:tr w:rsidR="004C4D76" w:rsidRPr="004C4D76" w14:paraId="1A910E82" w14:textId="77777777" w:rsidTr="001E7F45">
        <w:tc>
          <w:tcPr>
            <w:tcW w:w="6841" w:type="dxa"/>
            <w:shd w:val="clear" w:color="auto" w:fill="F2F2F2" w:themeFill="background1" w:themeFillShade="F2"/>
            <w:vAlign w:val="center"/>
          </w:tcPr>
          <w:p w14:paraId="1A910E81" w14:textId="77777777" w:rsidR="004C4D76" w:rsidRPr="004C4D76" w:rsidRDefault="004C4D76" w:rsidP="004C4D76">
            <w:pPr>
              <w:spacing w:after="200" w:line="276" w:lineRule="auto"/>
              <w:rPr>
                <w:b/>
              </w:rPr>
            </w:pPr>
            <w:r w:rsidRPr="004C4D76">
              <w:rPr>
                <w:b/>
              </w:rPr>
              <w:t>5 ways to wellbeing</w:t>
            </w:r>
          </w:p>
        </w:tc>
      </w:tr>
      <w:tr w:rsidR="004C4D76" w:rsidRPr="004C4D76" w14:paraId="1A910E8B" w14:textId="77777777" w:rsidTr="001E7F45">
        <w:tc>
          <w:tcPr>
            <w:tcW w:w="6841" w:type="dxa"/>
            <w:shd w:val="clear" w:color="auto" w:fill="F2F2F2" w:themeFill="background1" w:themeFillShade="F2"/>
          </w:tcPr>
          <w:tbl>
            <w:tblPr>
              <w:tblStyle w:val="TableGrid"/>
              <w:tblpPr w:leftFromText="180" w:rightFromText="180" w:vertAnchor="text" w:horzAnchor="margin" w:tblpY="198"/>
              <w:tblW w:w="684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20"/>
              <w:gridCol w:w="3421"/>
            </w:tblGrid>
            <w:tr w:rsidR="004C4D76" w:rsidRPr="004C4D76" w14:paraId="1A910E89" w14:textId="77777777" w:rsidTr="001E7F45">
              <w:tc>
                <w:tcPr>
                  <w:tcW w:w="3420" w:type="dxa"/>
                </w:tcPr>
                <w:p w14:paraId="1A910E83" w14:textId="77777777" w:rsidR="004C4D76" w:rsidRPr="004C4D76" w:rsidRDefault="004C4D76" w:rsidP="004C4D76">
                  <w:pPr>
                    <w:spacing w:after="200"/>
                  </w:pPr>
                  <w:r w:rsidRPr="004C4D76">
                    <w:rPr>
                      <w:b/>
                    </w:rPr>
                    <w:t>Connect</w:t>
                  </w:r>
                  <w:r w:rsidRPr="004C4D76">
                    <w:t xml:space="preserve"> - try to do something different and make a connection with someone different.</w:t>
                  </w:r>
                </w:p>
                <w:p w14:paraId="1A910E84" w14:textId="77777777" w:rsidR="004C4D76" w:rsidRPr="004C4D76" w:rsidRDefault="004C4D76" w:rsidP="004C4D76">
                  <w:pPr>
                    <w:spacing w:after="200"/>
                  </w:pPr>
                  <w:r w:rsidRPr="004C4D76">
                    <w:rPr>
                      <w:b/>
                    </w:rPr>
                    <w:t>Be active</w:t>
                  </w:r>
                  <w:r w:rsidRPr="004C4D76">
                    <w:t xml:space="preserve"> - Go for a walk, or do some ‘easy exercise’, like stretching, in the morning</w:t>
                  </w:r>
                </w:p>
                <w:p w14:paraId="1A910E85" w14:textId="77777777" w:rsidR="004C4D76" w:rsidRPr="004C4D76" w:rsidRDefault="004C4D76" w:rsidP="004C4D76">
                  <w:pPr>
                    <w:spacing w:after="200"/>
                  </w:pPr>
                  <w:r w:rsidRPr="004C4D76">
                    <w:rPr>
                      <w:b/>
                    </w:rPr>
                    <w:t>Take notice</w:t>
                  </w:r>
                  <w:r w:rsidRPr="004C4D76">
                    <w:t xml:space="preserve"> - Take some time to appreciate the moment and the environment around you.</w:t>
                  </w:r>
                </w:p>
              </w:tc>
              <w:tc>
                <w:tcPr>
                  <w:tcW w:w="3421" w:type="dxa"/>
                </w:tcPr>
                <w:p w14:paraId="1A910E86" w14:textId="77777777" w:rsidR="004C4D76" w:rsidRPr="004C4D76" w:rsidRDefault="004C4D76" w:rsidP="004C4D76">
                  <w:pPr>
                    <w:spacing w:after="200"/>
                  </w:pPr>
                  <w:r w:rsidRPr="004C4D76">
                    <w:rPr>
                      <w:b/>
                    </w:rPr>
                    <w:t>Learn</w:t>
                  </w:r>
                  <w:r w:rsidRPr="004C4D76">
                    <w:t xml:space="preserve"> - Sign up for a class, or research something you’ve always wondered about</w:t>
                  </w:r>
                </w:p>
                <w:p w14:paraId="1A910E87" w14:textId="77777777" w:rsidR="004C4D76" w:rsidRPr="004C4D76" w:rsidRDefault="004C4D76" w:rsidP="004C4D76">
                  <w:pPr>
                    <w:spacing w:after="200"/>
                  </w:pPr>
                  <w:r w:rsidRPr="004C4D76">
                    <w:rPr>
                      <w:b/>
                    </w:rPr>
                    <w:t>Give</w:t>
                  </w:r>
                  <w:r w:rsidRPr="004C4D76">
                    <w:t xml:space="preserve"> - Research shows that committing an act of kindness once a week over a six-week period is associated with feeling better.</w:t>
                  </w:r>
                </w:p>
                <w:p w14:paraId="1A910E88" w14:textId="77777777" w:rsidR="004C4D76" w:rsidRPr="004C4D76" w:rsidRDefault="004C4D76" w:rsidP="004C4D76">
                  <w:pPr>
                    <w:spacing w:after="200" w:line="276" w:lineRule="auto"/>
                    <w:rPr>
                      <w:b/>
                    </w:rPr>
                  </w:pPr>
                </w:p>
              </w:tc>
            </w:tr>
          </w:tbl>
          <w:p w14:paraId="1A910E8A" w14:textId="77777777" w:rsidR="004C4D76" w:rsidRPr="004C4D76" w:rsidRDefault="004C4D76" w:rsidP="004C4D76">
            <w:pPr>
              <w:spacing w:after="200" w:line="276" w:lineRule="auto"/>
              <w:rPr>
                <w:b/>
              </w:rPr>
            </w:pPr>
          </w:p>
        </w:tc>
      </w:tr>
    </w:tbl>
    <w:p w14:paraId="1A910E8C" w14:textId="77777777" w:rsidR="004C4D76" w:rsidRPr="004C4D76" w:rsidRDefault="004C4D76" w:rsidP="004C4D76">
      <w:pPr>
        <w:rPr>
          <w:b/>
        </w:rPr>
      </w:pPr>
      <w:r w:rsidRPr="004C4D76">
        <w:rPr>
          <w:b/>
        </w:rPr>
        <w:t>Abridged - Five ways to wellbeing New Economics Foundation</w:t>
      </w:r>
    </w:p>
    <w:p w14:paraId="1A910E8D" w14:textId="77777777" w:rsidR="004C4D76" w:rsidRPr="004C4D76" w:rsidRDefault="004C4D76" w:rsidP="004C4D76">
      <w:r w:rsidRPr="004C4D76">
        <w:t>For further advice during the Covid-19 pandemic please visit:</w:t>
      </w:r>
    </w:p>
    <w:p w14:paraId="1A910E8E" w14:textId="77777777" w:rsidR="004C4D76" w:rsidRPr="004C4D76" w:rsidRDefault="00F00FD8" w:rsidP="004C4D76">
      <w:hyperlink r:id="rId32" w:history="1">
        <w:r w:rsidR="004C4D76" w:rsidRPr="004C4D76">
          <w:rPr>
            <w:rStyle w:val="Hyperlink"/>
          </w:rPr>
          <w:t>https://www.gov.uk/government/publications/covid-19-guidance-for-the-public-on-mental-health-and-wellbeing/guidance-for-the-public-on-the-mental-health-and-wellbeing-aspects-of-coronavirus-covid-19</w:t>
        </w:r>
      </w:hyperlink>
    </w:p>
    <w:p w14:paraId="1A910E8F" w14:textId="77777777" w:rsidR="004C4D76" w:rsidRPr="004C4D76" w:rsidRDefault="00336AEA" w:rsidP="00336AEA">
      <w:pPr>
        <w:pStyle w:val="Heading2"/>
      </w:pPr>
      <w:r>
        <w:t xml:space="preserve">Impact on </w:t>
      </w:r>
      <w:r w:rsidR="004C4D76" w:rsidRPr="004C4D76">
        <w:t>Loneliness</w:t>
      </w:r>
    </w:p>
    <w:p w14:paraId="1A910E90" w14:textId="77777777" w:rsidR="004C4D76" w:rsidRPr="004C4D76" w:rsidRDefault="004C4D76" w:rsidP="004C4D76">
      <w:r w:rsidRPr="004C4D76">
        <w:t>Loneliness is the feeling we get when our need for rewarding social contact and relationships is not met. It is not the same as being alone. Loneliness affects both physical and mental health; increasing risk of high blood pressure and mortality, as well as depression and anxiety. Having a mental health problem can also increase feelings of loneliness.</w:t>
      </w:r>
      <w:r w:rsidRPr="004C4D76">
        <w:rPr>
          <w:vertAlign w:val="superscript"/>
        </w:rPr>
        <w:t xml:space="preserve"> </w:t>
      </w:r>
      <w:r w:rsidRPr="004C4D76">
        <w:rPr>
          <w:vertAlign w:val="superscript"/>
        </w:rPr>
        <w:endnoteReference w:id="33"/>
      </w:r>
      <w:r w:rsidRPr="004C4D76">
        <w:rPr>
          <w:vertAlign w:val="superscript"/>
        </w:rPr>
        <w:t xml:space="preserve"> </w:t>
      </w:r>
      <w:r w:rsidRPr="004C4D76">
        <w:rPr>
          <w:vertAlign w:val="superscript"/>
        </w:rPr>
        <w:endnoteReference w:id="34"/>
      </w:r>
    </w:p>
    <w:p w14:paraId="1A910E91" w14:textId="77777777" w:rsidR="004C4D76" w:rsidRPr="004C4D76" w:rsidRDefault="004C4D76" w:rsidP="00336AEA">
      <w:pPr>
        <w:pStyle w:val="Heading3"/>
      </w:pPr>
      <w:r w:rsidRPr="004C4D76">
        <w:t>Impact of COVID-19</w:t>
      </w:r>
    </w:p>
    <w:p w14:paraId="1A910E92" w14:textId="77777777" w:rsidR="004C4D76" w:rsidRPr="004C4D76" w:rsidRDefault="004C4D76" w:rsidP="004C4D76">
      <w:r w:rsidRPr="004C4D76">
        <w:t xml:space="preserve">The physical isolation and loss of ordinary social contacts such as </w:t>
      </w:r>
      <w:proofErr w:type="gramStart"/>
      <w:r w:rsidRPr="004C4D76">
        <w:t>work places</w:t>
      </w:r>
      <w:proofErr w:type="gramEnd"/>
      <w:r w:rsidRPr="004C4D76">
        <w:t xml:space="preserve"> will reduce the level of support people usually have. This is especially important for people living alone, such as the elderly and people with long term conditions. </w:t>
      </w:r>
      <w:proofErr w:type="gramStart"/>
      <w:r w:rsidRPr="004C4D76">
        <w:t>However</w:t>
      </w:r>
      <w:proofErr w:type="gramEnd"/>
      <w:r w:rsidRPr="004C4D76">
        <w:t xml:space="preserve"> it also affects young people, a recent survey of adults found that during the covid-19 lockdown, young people (aged 18-24) were most likely to experience loneliness. It is therefore important to keep up social </w:t>
      </w:r>
      <w:proofErr w:type="gramStart"/>
      <w:r w:rsidRPr="004C4D76">
        <w:t>networks, and</w:t>
      </w:r>
      <w:proofErr w:type="gramEnd"/>
      <w:r w:rsidRPr="004C4D76">
        <w:t xml:space="preserve"> explore new technologies to enable this. </w:t>
      </w:r>
      <w:r w:rsidRPr="004C4D76">
        <w:rPr>
          <w:vertAlign w:val="superscript"/>
        </w:rPr>
        <w:endnoteReference w:id="35"/>
      </w:r>
      <w:r w:rsidRPr="004C4D76">
        <w:t xml:space="preserve"> </w:t>
      </w:r>
      <w:r w:rsidRPr="004C4D76">
        <w:rPr>
          <w:vertAlign w:val="superscript"/>
        </w:rPr>
        <w:endnoteReference w:id="36"/>
      </w:r>
    </w:p>
    <w:p w14:paraId="1A910E93" w14:textId="77777777" w:rsidR="004C4D76" w:rsidRPr="004C4D76" w:rsidRDefault="00336AEA" w:rsidP="00336AEA">
      <w:pPr>
        <w:pStyle w:val="Heading3"/>
      </w:pPr>
      <w:r>
        <w:t>Getting help on Loneliness</w:t>
      </w:r>
    </w:p>
    <w:p w14:paraId="1A910E94" w14:textId="77777777" w:rsidR="004C4D76" w:rsidRPr="004C4D76" w:rsidRDefault="004C4D76" w:rsidP="00336AEA">
      <w:pPr>
        <w:numPr>
          <w:ilvl w:val="0"/>
          <w:numId w:val="40"/>
        </w:numPr>
        <w:ind w:left="426"/>
      </w:pPr>
      <w:r w:rsidRPr="004C4D76">
        <w:t xml:space="preserve">A new </w:t>
      </w:r>
      <w:r w:rsidRPr="004C4D76">
        <w:rPr>
          <w:b/>
        </w:rPr>
        <w:t>#</w:t>
      </w:r>
      <w:proofErr w:type="spellStart"/>
      <w:r w:rsidRPr="004C4D76">
        <w:rPr>
          <w:b/>
        </w:rPr>
        <w:t>Let’sTalkLoneliness</w:t>
      </w:r>
      <w:proofErr w:type="spellEnd"/>
      <w:r w:rsidRPr="004C4D76">
        <w:t xml:space="preserve"> public campaign has been launched by the government to help tackle loneliness and social isolation during the outbreak</w:t>
      </w:r>
      <w:r w:rsidRPr="004C4D76">
        <w:rPr>
          <w:vertAlign w:val="superscript"/>
        </w:rPr>
        <w:endnoteReference w:id="37"/>
      </w:r>
      <w:r w:rsidRPr="004C4D76">
        <w:br/>
      </w:r>
      <w:r w:rsidRPr="004C4D76">
        <w:rPr>
          <w:b/>
        </w:rPr>
        <w:t>Website:</w:t>
      </w:r>
      <w:r w:rsidRPr="004C4D76">
        <w:t xml:space="preserve"> </w:t>
      </w:r>
      <w:hyperlink r:id="rId33" w:history="1">
        <w:r w:rsidRPr="004C4D76">
          <w:rPr>
            <w:rStyle w:val="Hyperlink"/>
          </w:rPr>
          <w:t>www.letstalkloneliness.co.uk/</w:t>
        </w:r>
      </w:hyperlink>
      <w:r w:rsidRPr="004C4D76">
        <w:t xml:space="preserve"> </w:t>
      </w:r>
    </w:p>
    <w:p w14:paraId="1A910E95" w14:textId="77777777" w:rsidR="004C4D76" w:rsidRPr="004C4D76" w:rsidRDefault="004C4D76" w:rsidP="00336AEA">
      <w:pPr>
        <w:numPr>
          <w:ilvl w:val="0"/>
          <w:numId w:val="40"/>
        </w:numPr>
        <w:ind w:left="426"/>
      </w:pPr>
      <w:proofErr w:type="spellStart"/>
      <w:r w:rsidRPr="004C4D76">
        <w:rPr>
          <w:b/>
        </w:rPr>
        <w:lastRenderedPageBreak/>
        <w:t>Elefriends</w:t>
      </w:r>
      <w:proofErr w:type="spellEnd"/>
      <w:r w:rsidRPr="004C4D76">
        <w:t xml:space="preserve"> – supportive online community managed by Mind, the mental health charity</w:t>
      </w:r>
      <w:r w:rsidRPr="004C4D76">
        <w:br/>
      </w:r>
      <w:r w:rsidRPr="004C4D76">
        <w:rPr>
          <w:b/>
        </w:rPr>
        <w:t>Website:</w:t>
      </w:r>
      <w:r w:rsidRPr="004C4D76">
        <w:t xml:space="preserve"> </w:t>
      </w:r>
      <w:hyperlink r:id="rId34" w:history="1">
        <w:r w:rsidRPr="004C4D76">
          <w:rPr>
            <w:rStyle w:val="Hyperlink"/>
          </w:rPr>
          <w:t>www.elefriends.org.uk</w:t>
        </w:r>
      </w:hyperlink>
    </w:p>
    <w:p w14:paraId="1A910E96" w14:textId="77777777" w:rsidR="004C4D76" w:rsidRPr="004C4D76" w:rsidRDefault="004C4D76" w:rsidP="00336AEA">
      <w:pPr>
        <w:numPr>
          <w:ilvl w:val="0"/>
          <w:numId w:val="31"/>
        </w:numPr>
        <w:ind w:left="426"/>
      </w:pPr>
      <w:r w:rsidRPr="004C4D76">
        <w:t>Other nationally based sources of help include:</w:t>
      </w:r>
    </w:p>
    <w:p w14:paraId="1A910E97" w14:textId="77777777" w:rsidR="004C4D76" w:rsidRPr="004C4D76" w:rsidRDefault="004C4D76" w:rsidP="00336AEA">
      <w:pPr>
        <w:numPr>
          <w:ilvl w:val="0"/>
          <w:numId w:val="31"/>
        </w:numPr>
        <w:ind w:left="426"/>
      </w:pPr>
      <w:r w:rsidRPr="004C4D76">
        <w:t xml:space="preserve">Silverline - </w:t>
      </w:r>
      <w:hyperlink r:id="rId35" w:history="1">
        <w:r w:rsidRPr="004C4D76">
          <w:rPr>
            <w:rStyle w:val="Hyperlink"/>
          </w:rPr>
          <w:t>www.thesilverline.org.uk</w:t>
        </w:r>
      </w:hyperlink>
      <w:r w:rsidRPr="004C4D76">
        <w:rPr>
          <w:b/>
        </w:rPr>
        <w:t xml:space="preserve"> </w:t>
      </w:r>
    </w:p>
    <w:p w14:paraId="1A910E98" w14:textId="77777777" w:rsidR="004C4D76" w:rsidRPr="004C4D76" w:rsidRDefault="004C4D76" w:rsidP="00336AEA">
      <w:pPr>
        <w:numPr>
          <w:ilvl w:val="0"/>
          <w:numId w:val="31"/>
        </w:numPr>
        <w:ind w:left="426"/>
      </w:pPr>
      <w:r w:rsidRPr="004C4D76">
        <w:rPr>
          <w:b/>
        </w:rPr>
        <w:t>Age UK</w:t>
      </w:r>
      <w:r w:rsidRPr="004C4D76">
        <w:t xml:space="preserve"> - www.ageuk.co.uk</w:t>
      </w:r>
    </w:p>
    <w:p w14:paraId="1A910E99" w14:textId="77777777" w:rsidR="004C4D76" w:rsidRPr="004C4D76" w:rsidRDefault="004C4D76" w:rsidP="00336AEA">
      <w:pPr>
        <w:numPr>
          <w:ilvl w:val="0"/>
          <w:numId w:val="31"/>
        </w:numPr>
        <w:ind w:left="426"/>
      </w:pPr>
      <w:r w:rsidRPr="004C4D76">
        <w:t xml:space="preserve">Independent Age - </w:t>
      </w:r>
      <w:hyperlink r:id="rId36" w:history="1">
        <w:r w:rsidRPr="004C4D76">
          <w:rPr>
            <w:rStyle w:val="Hyperlink"/>
          </w:rPr>
          <w:t>www.independentage.org</w:t>
        </w:r>
      </w:hyperlink>
    </w:p>
    <w:p w14:paraId="1A910E9A" w14:textId="77777777" w:rsidR="004C4D76" w:rsidRPr="004C4D76" w:rsidRDefault="004C4D76" w:rsidP="00336AEA">
      <w:pPr>
        <w:numPr>
          <w:ilvl w:val="0"/>
          <w:numId w:val="31"/>
        </w:numPr>
        <w:ind w:left="426"/>
      </w:pPr>
      <w:r w:rsidRPr="004C4D76">
        <w:rPr>
          <w:b/>
        </w:rPr>
        <w:t>Samaritans</w:t>
      </w:r>
      <w:r w:rsidRPr="004C4D76">
        <w:t xml:space="preserve"> - </w:t>
      </w:r>
      <w:hyperlink r:id="rId37" w:history="1">
        <w:r w:rsidRPr="004C4D76">
          <w:rPr>
            <w:rStyle w:val="Hyperlink"/>
          </w:rPr>
          <w:t>https://www.samaritans.org/how-we-can-help/</w:t>
        </w:r>
      </w:hyperlink>
      <w:r w:rsidRPr="004C4D76">
        <w:t xml:space="preserve"> </w:t>
      </w:r>
    </w:p>
    <w:p w14:paraId="1A910E9B" w14:textId="77777777" w:rsidR="004C4D76" w:rsidRPr="004C4D76" w:rsidRDefault="004C4D76" w:rsidP="00336AEA">
      <w:pPr>
        <w:pStyle w:val="Heading3"/>
        <w:rPr>
          <w:lang w:val="en"/>
        </w:rPr>
      </w:pPr>
      <w:r w:rsidRPr="004C4D76">
        <w:rPr>
          <w:lang w:val="en"/>
        </w:rPr>
        <w:t>Key</w:t>
      </w:r>
      <w:r w:rsidRPr="004C4D76">
        <w:t xml:space="preserve"> </w:t>
      </w:r>
      <w:r w:rsidRPr="004C4D76">
        <w:rPr>
          <w:lang w:val="en"/>
        </w:rPr>
        <w:t>communication</w:t>
      </w:r>
      <w:r w:rsidRPr="004C4D76">
        <w:t xml:space="preserve"> </w:t>
      </w:r>
      <w:r w:rsidRPr="004C4D76">
        <w:rPr>
          <w:lang w:val="en"/>
        </w:rPr>
        <w:t>messages</w:t>
      </w:r>
    </w:p>
    <w:tbl>
      <w:tblPr>
        <w:tblStyle w:val="TableGrid"/>
        <w:tblW w:w="0" w:type="auto"/>
        <w:shd w:val="clear" w:color="auto" w:fill="F2F2F2" w:themeFill="background1" w:themeFillShade="F2"/>
        <w:tblLook w:val="04A0" w:firstRow="1" w:lastRow="0" w:firstColumn="1" w:lastColumn="0" w:noHBand="0" w:noVBand="1"/>
      </w:tblPr>
      <w:tblGrid>
        <w:gridCol w:w="6841"/>
      </w:tblGrid>
      <w:tr w:rsidR="004C4D76" w:rsidRPr="004C4D76" w14:paraId="1A910EA0" w14:textId="77777777" w:rsidTr="001E7F45">
        <w:tc>
          <w:tcPr>
            <w:tcW w:w="6841" w:type="dxa"/>
            <w:shd w:val="clear" w:color="auto" w:fill="F2F2F2" w:themeFill="background1" w:themeFillShade="F2"/>
          </w:tcPr>
          <w:p w14:paraId="1A910E9C" w14:textId="77777777" w:rsidR="004C4D76" w:rsidRPr="004C4D76" w:rsidRDefault="004C4D76" w:rsidP="00336AEA">
            <w:pPr>
              <w:spacing w:after="100" w:line="276" w:lineRule="auto"/>
            </w:pPr>
            <w:r w:rsidRPr="004C4D76">
              <w:t>Three actions for anyone feeling lonely:</w:t>
            </w:r>
          </w:p>
          <w:p w14:paraId="1A910E9D" w14:textId="77777777" w:rsidR="004C4D76" w:rsidRPr="004C4D76" w:rsidRDefault="004C4D76" w:rsidP="00336AEA">
            <w:pPr>
              <w:numPr>
                <w:ilvl w:val="0"/>
                <w:numId w:val="31"/>
              </w:numPr>
              <w:spacing w:after="100" w:line="276" w:lineRule="auto"/>
            </w:pPr>
            <w:r w:rsidRPr="004C4D76">
              <w:t>Keep in touch with friends, family and neighbours</w:t>
            </w:r>
          </w:p>
          <w:p w14:paraId="1A910E9E" w14:textId="77777777" w:rsidR="004C4D76" w:rsidRPr="004C4D76" w:rsidRDefault="004C4D76" w:rsidP="00336AEA">
            <w:pPr>
              <w:numPr>
                <w:ilvl w:val="0"/>
                <w:numId w:val="31"/>
              </w:numPr>
              <w:spacing w:after="100" w:line="276" w:lineRule="auto"/>
            </w:pPr>
            <w:r w:rsidRPr="004C4D76">
              <w:t>Ask for help if you need shopping, medicine or are feeling lonely</w:t>
            </w:r>
          </w:p>
          <w:p w14:paraId="1A910E9F" w14:textId="77777777" w:rsidR="004C4D76" w:rsidRPr="004C4D76" w:rsidRDefault="004C4D76" w:rsidP="00336AEA">
            <w:pPr>
              <w:numPr>
                <w:ilvl w:val="0"/>
                <w:numId w:val="31"/>
              </w:numPr>
              <w:spacing w:after="100" w:line="276" w:lineRule="auto"/>
            </w:pPr>
            <w:r w:rsidRPr="004C4D76">
              <w:t>Set a routine with online activities, regular tasks or by volunteering</w:t>
            </w:r>
          </w:p>
        </w:tc>
      </w:tr>
      <w:tr w:rsidR="004C4D76" w:rsidRPr="004C4D76" w14:paraId="1A910EA5" w14:textId="77777777" w:rsidTr="001E7F45">
        <w:tc>
          <w:tcPr>
            <w:tcW w:w="6841" w:type="dxa"/>
            <w:shd w:val="clear" w:color="auto" w:fill="F2F2F2" w:themeFill="background1" w:themeFillShade="F2"/>
          </w:tcPr>
          <w:p w14:paraId="1A910EA1" w14:textId="77777777" w:rsidR="004C4D76" w:rsidRPr="004C4D76" w:rsidRDefault="004C4D76" w:rsidP="00336AEA">
            <w:pPr>
              <w:spacing w:after="100" w:line="276" w:lineRule="auto"/>
            </w:pPr>
            <w:r w:rsidRPr="004C4D76">
              <w:t>Three actions for anyone wanting to help:</w:t>
            </w:r>
          </w:p>
          <w:p w14:paraId="1A910EA2" w14:textId="77777777" w:rsidR="004C4D76" w:rsidRPr="004C4D76" w:rsidRDefault="004C4D76" w:rsidP="00336AEA">
            <w:pPr>
              <w:numPr>
                <w:ilvl w:val="0"/>
                <w:numId w:val="32"/>
              </w:numPr>
              <w:spacing w:after="100" w:line="276" w:lineRule="auto"/>
            </w:pPr>
            <w:r w:rsidRPr="004C4D76">
              <w:t>Phone a friend or family member you think may be lonely</w:t>
            </w:r>
          </w:p>
          <w:p w14:paraId="1A910EA3" w14:textId="77777777" w:rsidR="004C4D76" w:rsidRPr="004C4D76" w:rsidRDefault="004C4D76" w:rsidP="00336AEA">
            <w:pPr>
              <w:numPr>
                <w:ilvl w:val="0"/>
                <w:numId w:val="32"/>
              </w:numPr>
              <w:spacing w:after="100" w:line="276" w:lineRule="auto"/>
            </w:pPr>
            <w:r w:rsidRPr="004C4D76">
              <w:t>Smile, wave or chat from a safe distance with a neighbour</w:t>
            </w:r>
          </w:p>
          <w:p w14:paraId="1A910EA4" w14:textId="77777777" w:rsidR="004C4D76" w:rsidRPr="004C4D76" w:rsidRDefault="004C4D76" w:rsidP="00336AEA">
            <w:pPr>
              <w:numPr>
                <w:ilvl w:val="0"/>
                <w:numId w:val="32"/>
              </w:numPr>
              <w:spacing w:after="100" w:line="276" w:lineRule="auto"/>
            </w:pPr>
            <w:proofErr w:type="gramStart"/>
            <w:r w:rsidRPr="004C4D76">
              <w:t>Help out</w:t>
            </w:r>
            <w:proofErr w:type="gramEnd"/>
            <w:r w:rsidRPr="004C4D76">
              <w:t xml:space="preserve"> through volunteering or picking up food, medicine or by offering regular conversation to someone living alone</w:t>
            </w:r>
          </w:p>
        </w:tc>
      </w:tr>
      <w:tr w:rsidR="004C4D76" w:rsidRPr="004C4D76" w14:paraId="1A910EA7" w14:textId="77777777" w:rsidTr="001E7F45">
        <w:tc>
          <w:tcPr>
            <w:tcW w:w="6841" w:type="dxa"/>
            <w:shd w:val="clear" w:color="auto" w:fill="F2F2F2" w:themeFill="background1" w:themeFillShade="F2"/>
          </w:tcPr>
          <w:p w14:paraId="1A910EA6" w14:textId="77777777" w:rsidR="004C4D76" w:rsidRPr="004C4D76" w:rsidRDefault="004C4D76" w:rsidP="004C4D76">
            <w:pPr>
              <w:spacing w:after="200" w:line="276" w:lineRule="auto"/>
            </w:pPr>
            <w:r w:rsidRPr="004C4D76">
              <w:t xml:space="preserve">For further advice please refer to: </w:t>
            </w:r>
            <w:hyperlink r:id="rId38" w:history="1">
              <w:r w:rsidRPr="004C4D76">
                <w:rPr>
                  <w:rStyle w:val="Hyperlink"/>
                </w:rPr>
                <w:t>www.harrow.gov.uk/stuckathome</w:t>
              </w:r>
            </w:hyperlink>
          </w:p>
        </w:tc>
      </w:tr>
    </w:tbl>
    <w:p w14:paraId="1A910EA8" w14:textId="77777777" w:rsidR="004C4D76" w:rsidRPr="004C4D76" w:rsidRDefault="004C4D76" w:rsidP="004C4D76"/>
    <w:p w14:paraId="1A910EA9" w14:textId="77777777" w:rsidR="004C4D76" w:rsidRPr="004C4D76" w:rsidRDefault="0020034F" w:rsidP="00336AEA">
      <w:pPr>
        <w:pStyle w:val="Heading2"/>
      </w:pPr>
      <w:r>
        <w:rPr>
          <w:lang w:val="en"/>
        </w:rPr>
        <w:t xml:space="preserve">Impact on </w:t>
      </w:r>
      <w:r w:rsidR="004C4D76" w:rsidRPr="004C4D76">
        <w:rPr>
          <w:lang w:val="en"/>
        </w:rPr>
        <w:t>Bereavement</w:t>
      </w:r>
    </w:p>
    <w:p w14:paraId="1A910EAA" w14:textId="77777777" w:rsidR="004C4D76" w:rsidRPr="004C4D76" w:rsidRDefault="004C4D76" w:rsidP="004C4D76">
      <w:pPr>
        <w:rPr>
          <w:lang w:val="en"/>
        </w:rPr>
      </w:pPr>
      <w:r w:rsidRPr="004C4D76">
        <w:rPr>
          <w:lang w:val="en"/>
        </w:rPr>
        <w:t xml:space="preserve">Bereavement describes the experience of losing someone important to us. Grieving from a loss is an individual experience and encompasses a range of feelings and emotions; such as sadness, shock, anger, guilt and relief. It may also be expressed in physical symptoms, such as sleep and appetite problems. Grief may strain day-to-day living for </w:t>
      </w:r>
      <w:proofErr w:type="gramStart"/>
      <w:r w:rsidRPr="004C4D76">
        <w:rPr>
          <w:lang w:val="en"/>
        </w:rPr>
        <w:t>a period of time</w:t>
      </w:r>
      <w:proofErr w:type="gramEnd"/>
      <w:r w:rsidRPr="004C4D76">
        <w:rPr>
          <w:lang w:val="en"/>
        </w:rPr>
        <w:t xml:space="preserve"> before an individual is able to process and adapt to life after loss, grief may also require specialist support from health professionals. </w:t>
      </w:r>
      <w:r w:rsidRPr="004C4D76">
        <w:rPr>
          <w:vertAlign w:val="superscript"/>
          <w:lang w:val="en"/>
        </w:rPr>
        <w:endnoteReference w:id="38"/>
      </w:r>
      <w:r w:rsidRPr="004C4D76">
        <w:rPr>
          <w:lang w:val="en"/>
        </w:rPr>
        <w:t xml:space="preserve"> </w:t>
      </w:r>
      <w:r w:rsidRPr="004C4D76">
        <w:rPr>
          <w:vertAlign w:val="superscript"/>
          <w:lang w:val="en"/>
        </w:rPr>
        <w:endnoteReference w:id="39"/>
      </w:r>
    </w:p>
    <w:p w14:paraId="1A910EAB" w14:textId="77777777" w:rsidR="004C4D76" w:rsidRPr="004C4D76" w:rsidRDefault="004C4D76" w:rsidP="00336AEA">
      <w:pPr>
        <w:pStyle w:val="Heading3"/>
        <w:rPr>
          <w:lang w:val="en"/>
        </w:rPr>
      </w:pPr>
      <w:r w:rsidRPr="004C4D76">
        <w:rPr>
          <w:lang w:val="en"/>
        </w:rPr>
        <w:t>Impact of COVID-19</w:t>
      </w:r>
    </w:p>
    <w:p w14:paraId="1A910EAC" w14:textId="77777777" w:rsidR="004C4D76" w:rsidRPr="004C4D76" w:rsidRDefault="004C4D76" w:rsidP="004C4D76">
      <w:pPr>
        <w:rPr>
          <w:lang w:val="en"/>
        </w:rPr>
      </w:pPr>
      <w:r w:rsidRPr="004C4D76">
        <w:rPr>
          <w:lang w:val="en"/>
        </w:rPr>
        <w:t xml:space="preserve">During this pandemic many Harrow residents will have experienced the loss of someone close to </w:t>
      </w:r>
      <w:proofErr w:type="gramStart"/>
      <w:r w:rsidRPr="004C4D76">
        <w:rPr>
          <w:lang w:val="en"/>
        </w:rPr>
        <w:t>them, or</w:t>
      </w:r>
      <w:proofErr w:type="gramEnd"/>
      <w:r w:rsidRPr="004C4D76">
        <w:rPr>
          <w:lang w:val="en"/>
        </w:rPr>
        <w:t xml:space="preserve"> know someone who has been bereaved. The figure below shows the excess deaths in Harrow during the height of the outbreak in April. </w:t>
      </w:r>
      <w:r w:rsidRPr="004C4D76">
        <w:rPr>
          <w:vertAlign w:val="superscript"/>
          <w:lang w:val="en"/>
        </w:rPr>
        <w:endnoteReference w:id="40"/>
      </w:r>
      <w:r w:rsidRPr="004C4D76">
        <w:rPr>
          <w:lang w:val="en"/>
        </w:rPr>
        <w:t xml:space="preserve"> </w:t>
      </w:r>
    </w:p>
    <w:p w14:paraId="1A910EAD" w14:textId="77777777" w:rsidR="004C4D76" w:rsidRPr="004C4D76" w:rsidRDefault="004C4D76" w:rsidP="004C4D76">
      <w:pPr>
        <w:rPr>
          <w:lang w:val="en"/>
        </w:rPr>
      </w:pPr>
      <w:r w:rsidRPr="004C4D76">
        <w:rPr>
          <w:lang w:val="en"/>
        </w:rPr>
        <w:t xml:space="preserve">Feelings of grief may be intensified due to requirements to self-isolate or socially distance from friends and family; and there may be practical issues, such as arranging funerals and legal matters. </w:t>
      </w:r>
      <w:r w:rsidRPr="004C4D76">
        <w:rPr>
          <w:vertAlign w:val="superscript"/>
          <w:lang w:val="en"/>
        </w:rPr>
        <w:endnoteReference w:id="41"/>
      </w:r>
      <w:r w:rsidRPr="004C4D76">
        <w:rPr>
          <w:lang w:val="en"/>
        </w:rPr>
        <w:t xml:space="preserve"> Children and young people grieve as much as </w:t>
      </w:r>
      <w:proofErr w:type="gramStart"/>
      <w:r w:rsidRPr="004C4D76">
        <w:rPr>
          <w:lang w:val="en"/>
        </w:rPr>
        <w:t>adults, but</w:t>
      </w:r>
      <w:proofErr w:type="gramEnd"/>
      <w:r w:rsidRPr="004C4D76">
        <w:rPr>
          <w:lang w:val="en"/>
        </w:rPr>
        <w:t xml:space="preserve"> can react differently due to different ways of processing information and showing their feelings. Younger children may appear not to react as they do not understand that death is permanent and sometimes </w:t>
      </w:r>
      <w:r w:rsidRPr="004C4D76">
        <w:rPr>
          <w:lang w:val="en"/>
        </w:rPr>
        <w:lastRenderedPageBreak/>
        <w:t>children will ask the same question again and again and this can be very hard for the adult; “Mummy will be back for my birthday, won’t she?” It is important to give children the time and opportunity to ask questions and talk about their feelings. Giving clear, honest and age-appropriate information, and ensuring a regular routine also help children during the grieving process. Furthermore, it is important for adults that share the bereavement to consider their own support and well-being, in order to best support the child.</w:t>
      </w:r>
      <w:r w:rsidRPr="004C4D76">
        <w:rPr>
          <w:vertAlign w:val="superscript"/>
          <w:lang w:val="en"/>
        </w:rPr>
        <w:endnoteReference w:id="42"/>
      </w:r>
      <w:r w:rsidRPr="004C4D76">
        <w:rPr>
          <w:lang w:val="en"/>
        </w:rPr>
        <w:t xml:space="preserve"> </w:t>
      </w:r>
      <w:r w:rsidRPr="004C4D76">
        <w:rPr>
          <w:vertAlign w:val="superscript"/>
          <w:lang w:val="en"/>
        </w:rPr>
        <w:endnoteReference w:id="43"/>
      </w:r>
    </w:p>
    <w:p w14:paraId="1A910EAE" w14:textId="77777777" w:rsidR="004C4D76" w:rsidRDefault="004C4D76" w:rsidP="004C4D76">
      <w:pPr>
        <w:rPr>
          <w:bCs/>
        </w:rPr>
      </w:pPr>
      <w:r w:rsidRPr="004C4D76">
        <w:rPr>
          <w:bCs/>
        </w:rPr>
        <w:t>PH in conjunction with the Young Harrow Foundation, Bereavement Care and Support (Harrow) and other partner organisations have hosted two webinars: one on how to support adults, and one on how to support children and young people who have been bereaved.</w:t>
      </w:r>
    </w:p>
    <w:p w14:paraId="1A910EAF" w14:textId="77777777" w:rsidR="004C4D76" w:rsidRPr="004C4D76" w:rsidRDefault="00336AEA" w:rsidP="00336AEA">
      <w:pPr>
        <w:pStyle w:val="Heading3"/>
        <w:rPr>
          <w:lang w:val="en"/>
        </w:rPr>
      </w:pPr>
      <w:r>
        <w:rPr>
          <w:lang w:val="en"/>
        </w:rPr>
        <w:t>Getting Help on Bereavement</w:t>
      </w:r>
    </w:p>
    <w:p w14:paraId="1A910EB0" w14:textId="77777777" w:rsidR="004C4D76" w:rsidRPr="004C4D76" w:rsidRDefault="004C4D76" w:rsidP="008D6202">
      <w:pPr>
        <w:numPr>
          <w:ilvl w:val="0"/>
          <w:numId w:val="35"/>
        </w:numPr>
        <w:ind w:left="284"/>
      </w:pPr>
      <w:r w:rsidRPr="004C4D76">
        <w:rPr>
          <w:b/>
        </w:rPr>
        <w:t>Harrow Talking Therapies (IAPT) – Free NHS Service.</w:t>
      </w:r>
      <w:r w:rsidRPr="004C4D76">
        <w:t xml:space="preserve"> Individual and group counselling by accredited counsellors. For traumatic bereavement and prolonged grief disorder, individual therapy is provided by CBT therapists. Sessions are offered by video conferencing or phone.</w:t>
      </w:r>
    </w:p>
    <w:p w14:paraId="1A910EB1" w14:textId="77777777" w:rsidR="004C4D76" w:rsidRPr="004C4D76" w:rsidRDefault="004C4D76" w:rsidP="0020034F">
      <w:pPr>
        <w:spacing w:before="240" w:after="0"/>
        <w:rPr>
          <w:b/>
        </w:rPr>
      </w:pPr>
      <w:r w:rsidRPr="004C4D76">
        <w:rPr>
          <w:b/>
        </w:rPr>
        <w:t xml:space="preserve">Website: </w:t>
      </w:r>
      <w:hyperlink r:id="rId39" w:history="1">
        <w:r w:rsidRPr="004C4D76">
          <w:rPr>
            <w:rStyle w:val="Hyperlink"/>
            <w:b/>
            <w:bCs/>
          </w:rPr>
          <w:t>cnwltalkingtherapies.org.uk</w:t>
        </w:r>
      </w:hyperlink>
      <w:r w:rsidRPr="004C4D76">
        <w:rPr>
          <w:b/>
          <w:bCs/>
        </w:rPr>
        <w:t xml:space="preserve">  Tel: 020 8515 5015</w:t>
      </w:r>
    </w:p>
    <w:p w14:paraId="1A910EB2" w14:textId="77777777" w:rsidR="004C4D76" w:rsidRPr="004C4D76" w:rsidRDefault="004C4D76" w:rsidP="0020034F">
      <w:pPr>
        <w:spacing w:before="240" w:after="0"/>
        <w:rPr>
          <w:b/>
          <w:bCs/>
        </w:rPr>
      </w:pPr>
      <w:r w:rsidRPr="004C4D76">
        <w:rPr>
          <w:b/>
        </w:rPr>
        <w:t xml:space="preserve">Email: </w:t>
      </w:r>
      <w:hyperlink r:id="rId40" w:history="1">
        <w:r w:rsidRPr="004C4D76">
          <w:rPr>
            <w:rStyle w:val="Hyperlink"/>
            <w:b/>
            <w:bCs/>
          </w:rPr>
          <w:t>Harrow.iapt@nhs.net</w:t>
        </w:r>
      </w:hyperlink>
      <w:r w:rsidRPr="004C4D76">
        <w:rPr>
          <w:b/>
          <w:bCs/>
        </w:rPr>
        <w:t xml:space="preserve">  </w:t>
      </w:r>
    </w:p>
    <w:p w14:paraId="1A910EB3" w14:textId="77777777" w:rsidR="004C4D76" w:rsidRDefault="004C4D76" w:rsidP="0020034F">
      <w:pPr>
        <w:spacing w:before="240" w:after="0"/>
        <w:rPr>
          <w:b/>
          <w:bCs/>
        </w:rPr>
      </w:pPr>
      <w:r w:rsidRPr="004C4D76">
        <w:rPr>
          <w:b/>
        </w:rPr>
        <w:t xml:space="preserve">Facebook: </w:t>
      </w:r>
      <w:hyperlink r:id="rId41" w:history="1">
        <w:r w:rsidRPr="004C4D76">
          <w:rPr>
            <w:rStyle w:val="Hyperlink"/>
            <w:b/>
            <w:bCs/>
          </w:rPr>
          <w:t>www.facebook.com/HarrowTT/</w:t>
        </w:r>
      </w:hyperlink>
      <w:r w:rsidRPr="004C4D76">
        <w:rPr>
          <w:b/>
          <w:bCs/>
        </w:rPr>
        <w:t xml:space="preserve"> </w:t>
      </w:r>
    </w:p>
    <w:p w14:paraId="1A910EB4" w14:textId="77777777" w:rsidR="004C4D76" w:rsidRPr="004C4D76" w:rsidRDefault="004C4D76" w:rsidP="008D6202">
      <w:pPr>
        <w:numPr>
          <w:ilvl w:val="0"/>
          <w:numId w:val="35"/>
        </w:numPr>
        <w:ind w:left="426"/>
      </w:pPr>
      <w:r w:rsidRPr="004C4D76">
        <w:rPr>
          <w:b/>
          <w:bCs/>
        </w:rPr>
        <w:t>Bereavement Care and Support (Harrow).</w:t>
      </w:r>
      <w:r w:rsidRPr="004C4D76">
        <w:t xml:space="preserve"> Trained volunteers provide ‘bereavement visiting’ to adults and children currently via telephone.</w:t>
      </w:r>
    </w:p>
    <w:p w14:paraId="1A910EB5" w14:textId="77777777" w:rsidR="004C4D76" w:rsidRPr="004C4D76" w:rsidRDefault="004C4D76" w:rsidP="004C4D76">
      <w:pPr>
        <w:rPr>
          <w:b/>
        </w:rPr>
      </w:pPr>
      <w:r w:rsidRPr="004C4D76">
        <w:rPr>
          <w:b/>
          <w:bCs/>
        </w:rPr>
        <w:t xml:space="preserve">Tel: </w:t>
      </w:r>
      <w:r w:rsidRPr="004C4D76">
        <w:rPr>
          <w:b/>
        </w:rPr>
        <w:t xml:space="preserve">020 8427 5720  </w:t>
      </w:r>
    </w:p>
    <w:p w14:paraId="1A910EB6" w14:textId="77777777" w:rsidR="0020034F" w:rsidRPr="0020034F" w:rsidRDefault="004C4D76" w:rsidP="004C4D76">
      <w:pPr>
        <w:rPr>
          <w:b/>
        </w:rPr>
      </w:pPr>
      <w:r w:rsidRPr="004C4D76">
        <w:rPr>
          <w:b/>
          <w:bCs/>
        </w:rPr>
        <w:t xml:space="preserve">Email: </w:t>
      </w:r>
      <w:hyperlink r:id="rId42" w:history="1">
        <w:r w:rsidRPr="004C4D76">
          <w:rPr>
            <w:rStyle w:val="Hyperlink"/>
            <w:b/>
          </w:rPr>
          <w:t>admin@bereavementcareandsupport.co.uk</w:t>
        </w:r>
      </w:hyperlink>
    </w:p>
    <w:p w14:paraId="1A910EB7" w14:textId="77777777" w:rsidR="004C4D76" w:rsidRPr="004C4D76" w:rsidRDefault="004C4D76" w:rsidP="008D6202">
      <w:pPr>
        <w:numPr>
          <w:ilvl w:val="0"/>
          <w:numId w:val="28"/>
        </w:numPr>
        <w:tabs>
          <w:tab w:val="clear" w:pos="644"/>
        </w:tabs>
        <w:ind w:left="426"/>
        <w:rPr>
          <w:lang w:val="en"/>
        </w:rPr>
      </w:pPr>
      <w:r w:rsidRPr="004C4D76">
        <w:rPr>
          <w:b/>
          <w:bCs/>
        </w:rPr>
        <w:t>The</w:t>
      </w:r>
      <w:r w:rsidR="0020034F">
        <w:t xml:space="preserve"> </w:t>
      </w:r>
      <w:proofErr w:type="spellStart"/>
      <w:r w:rsidR="0020034F">
        <w:t>W</w:t>
      </w:r>
      <w:r w:rsidRPr="004C4D76">
        <w:rPr>
          <w:b/>
          <w:bCs/>
        </w:rPr>
        <w:t>ïsh</w:t>
      </w:r>
      <w:proofErr w:type="spellEnd"/>
      <w:r w:rsidRPr="004C4D76">
        <w:rPr>
          <w:b/>
          <w:bCs/>
        </w:rPr>
        <w:t xml:space="preserve"> </w:t>
      </w:r>
      <w:r w:rsidR="0020034F">
        <w:rPr>
          <w:b/>
          <w:bCs/>
        </w:rPr>
        <w:t>C</w:t>
      </w:r>
      <w:r w:rsidRPr="004C4D76">
        <w:rPr>
          <w:b/>
          <w:bCs/>
        </w:rPr>
        <w:t xml:space="preserve">entre. </w:t>
      </w:r>
      <w:r w:rsidRPr="004C4D76">
        <w:t xml:space="preserve">A free therapy and counselling service for young people in Harrow aged 10-25 years. </w:t>
      </w:r>
    </w:p>
    <w:p w14:paraId="1A910EB8" w14:textId="77777777" w:rsidR="004C4D76" w:rsidRPr="004C4D76" w:rsidRDefault="004C4D76" w:rsidP="008D6202">
      <w:pPr>
        <w:numPr>
          <w:ilvl w:val="0"/>
          <w:numId w:val="28"/>
        </w:numPr>
        <w:tabs>
          <w:tab w:val="clear" w:pos="644"/>
        </w:tabs>
        <w:ind w:left="426"/>
        <w:rPr>
          <w:lang w:val="en"/>
        </w:rPr>
      </w:pPr>
      <w:r w:rsidRPr="004C4D76">
        <w:t xml:space="preserve">Particular support for children is available from </w:t>
      </w:r>
      <w:hyperlink r:id="rId43" w:history="1">
        <w:r w:rsidRPr="004C4D76">
          <w:rPr>
            <w:rStyle w:val="Hyperlink"/>
            <w:lang w:val="en"/>
          </w:rPr>
          <w:t>Childbereavementuk.org</w:t>
        </w:r>
      </w:hyperlink>
      <w:r w:rsidRPr="004C4D76">
        <w:rPr>
          <w:lang w:val="en"/>
        </w:rPr>
        <w:t>, and</w:t>
      </w:r>
      <w:r w:rsidRPr="004C4D76">
        <w:rPr>
          <w:u w:val="single"/>
          <w:lang w:val="en"/>
        </w:rPr>
        <w:t xml:space="preserve"> </w:t>
      </w:r>
      <w:hyperlink r:id="rId44" w:history="1">
        <w:r w:rsidRPr="004C4D76">
          <w:rPr>
            <w:rStyle w:val="Hyperlink"/>
          </w:rPr>
          <w:t>www.winstonswish.org</w:t>
        </w:r>
      </w:hyperlink>
      <w:r w:rsidRPr="004C4D76">
        <w:rPr>
          <w:lang w:val="en"/>
        </w:rPr>
        <w:t xml:space="preserve">. </w:t>
      </w:r>
      <w:r w:rsidRPr="004C4D76">
        <w:rPr>
          <w:lang w:val="en"/>
        </w:rPr>
        <w:br/>
        <w:t>For schools in Harrow who would like support with pupils who have been bereaved the Educational Psychology service can help:</w:t>
      </w:r>
    </w:p>
    <w:p w14:paraId="1A910EB9" w14:textId="77777777" w:rsidR="004C4D76" w:rsidRPr="004C4D76" w:rsidRDefault="00F00FD8" w:rsidP="004C4D76">
      <w:pPr>
        <w:rPr>
          <w:u w:val="single"/>
        </w:rPr>
      </w:pPr>
      <w:hyperlink r:id="rId45" w:history="1">
        <w:r w:rsidR="004C4D76" w:rsidRPr="004C4D76">
          <w:rPr>
            <w:rStyle w:val="Hyperlink"/>
          </w:rPr>
          <w:t>https://www.harrowlocaloffer.co.uk/services/education/educational-psychology-service</w:t>
        </w:r>
      </w:hyperlink>
    </w:p>
    <w:p w14:paraId="1A910EBA" w14:textId="77777777" w:rsidR="004C4D76" w:rsidRPr="004C4D76" w:rsidRDefault="004C4D76" w:rsidP="008D6202">
      <w:pPr>
        <w:numPr>
          <w:ilvl w:val="0"/>
          <w:numId w:val="35"/>
        </w:numPr>
        <w:ind w:left="426"/>
      </w:pPr>
      <w:r w:rsidRPr="004C4D76">
        <w:rPr>
          <w:bCs/>
        </w:rPr>
        <w:t xml:space="preserve">Other services are also listed on the Council website: </w:t>
      </w:r>
      <w:hyperlink r:id="rId46" w:history="1">
        <w:r w:rsidRPr="004C4D76">
          <w:rPr>
            <w:rStyle w:val="Hyperlink"/>
          </w:rPr>
          <w:t>https://www.harrow.gov.uk/bereavement</w:t>
        </w:r>
      </w:hyperlink>
    </w:p>
    <w:p w14:paraId="1A910EBB" w14:textId="77777777" w:rsidR="004C4D76" w:rsidRPr="004C4D76" w:rsidRDefault="004C4D76" w:rsidP="004C4D76">
      <w:pPr>
        <w:rPr>
          <w:b/>
          <w:bCs/>
          <w:lang w:val="en"/>
        </w:rPr>
      </w:pPr>
      <w:r w:rsidRPr="004C4D76">
        <w:rPr>
          <w:b/>
          <w:bCs/>
          <w:lang w:val="en"/>
        </w:rPr>
        <w:t>Key communication messages</w:t>
      </w:r>
    </w:p>
    <w:tbl>
      <w:tblPr>
        <w:tblStyle w:val="TableGrid"/>
        <w:tblW w:w="0" w:type="auto"/>
        <w:shd w:val="clear" w:color="auto" w:fill="F2F2F2" w:themeFill="background1" w:themeFillShade="F2"/>
        <w:tblLook w:val="04A0" w:firstRow="1" w:lastRow="0" w:firstColumn="1" w:lastColumn="0" w:noHBand="0" w:noVBand="1"/>
      </w:tblPr>
      <w:tblGrid>
        <w:gridCol w:w="6841"/>
      </w:tblGrid>
      <w:tr w:rsidR="004C4D76" w:rsidRPr="004C4D76" w14:paraId="1A910EBD" w14:textId="77777777" w:rsidTr="001E7F45">
        <w:tc>
          <w:tcPr>
            <w:tcW w:w="6841" w:type="dxa"/>
            <w:shd w:val="clear" w:color="auto" w:fill="F2F2F2" w:themeFill="background1" w:themeFillShade="F2"/>
          </w:tcPr>
          <w:p w14:paraId="1A910EBC" w14:textId="77777777" w:rsidR="004C4D76" w:rsidRPr="004C4D76" w:rsidRDefault="004C4D76" w:rsidP="004C4D76">
            <w:pPr>
              <w:spacing w:after="200" w:line="276" w:lineRule="auto"/>
              <w:rPr>
                <w:bCs/>
              </w:rPr>
            </w:pPr>
            <w:r w:rsidRPr="004C4D76">
              <w:rPr>
                <w:bCs/>
              </w:rPr>
              <w:t xml:space="preserve">Allow yourself time to grieve. </w:t>
            </w:r>
          </w:p>
        </w:tc>
      </w:tr>
      <w:tr w:rsidR="004C4D76" w:rsidRPr="004C4D76" w14:paraId="1A910EBF" w14:textId="77777777" w:rsidTr="001E7F45">
        <w:tc>
          <w:tcPr>
            <w:tcW w:w="6841" w:type="dxa"/>
            <w:shd w:val="clear" w:color="auto" w:fill="F2F2F2" w:themeFill="background1" w:themeFillShade="F2"/>
          </w:tcPr>
          <w:p w14:paraId="1A910EBE" w14:textId="77777777" w:rsidR="004C4D76" w:rsidRPr="004C4D76" w:rsidRDefault="004C4D76" w:rsidP="004C4D76">
            <w:pPr>
              <w:spacing w:after="200" w:line="276" w:lineRule="auto"/>
              <w:rPr>
                <w:bCs/>
              </w:rPr>
            </w:pPr>
            <w:r w:rsidRPr="004C4D76">
              <w:rPr>
                <w:bCs/>
              </w:rPr>
              <w:t>It may be helpful not to rush into decisions about your loved one’s possessions and personal effects</w:t>
            </w:r>
          </w:p>
        </w:tc>
      </w:tr>
      <w:tr w:rsidR="004C4D76" w:rsidRPr="004C4D76" w14:paraId="1A910EC1" w14:textId="77777777" w:rsidTr="001E7F45">
        <w:tc>
          <w:tcPr>
            <w:tcW w:w="6841" w:type="dxa"/>
            <w:shd w:val="clear" w:color="auto" w:fill="F2F2F2" w:themeFill="background1" w:themeFillShade="F2"/>
          </w:tcPr>
          <w:p w14:paraId="1A910EC0" w14:textId="77777777" w:rsidR="004C4D76" w:rsidRPr="004C4D76" w:rsidRDefault="004C4D76" w:rsidP="004C4D76">
            <w:pPr>
              <w:spacing w:after="200" w:line="276" w:lineRule="auto"/>
              <w:rPr>
                <w:bCs/>
              </w:rPr>
            </w:pPr>
            <w:r w:rsidRPr="004C4D76">
              <w:rPr>
                <w:bCs/>
              </w:rPr>
              <w:lastRenderedPageBreak/>
              <w:t xml:space="preserve">It can be useful to delay big decisions, such as </w:t>
            </w:r>
            <w:proofErr w:type="gramStart"/>
            <w:r w:rsidRPr="004C4D76">
              <w:rPr>
                <w:bCs/>
              </w:rPr>
              <w:t>moving house</w:t>
            </w:r>
            <w:proofErr w:type="gramEnd"/>
            <w:r w:rsidRPr="004C4D76">
              <w:rPr>
                <w:bCs/>
              </w:rPr>
              <w:t xml:space="preserve">, so that you do not commit to making a change that you may not have had enough time or space to consider. </w:t>
            </w:r>
          </w:p>
        </w:tc>
      </w:tr>
      <w:tr w:rsidR="004C4D76" w:rsidRPr="004C4D76" w14:paraId="1A910EC3" w14:textId="77777777" w:rsidTr="001E7F45">
        <w:tc>
          <w:tcPr>
            <w:tcW w:w="6841" w:type="dxa"/>
            <w:shd w:val="clear" w:color="auto" w:fill="F2F2F2" w:themeFill="background1" w:themeFillShade="F2"/>
          </w:tcPr>
          <w:p w14:paraId="1A910EC2" w14:textId="77777777" w:rsidR="004C4D76" w:rsidRPr="004C4D76" w:rsidRDefault="004C4D76" w:rsidP="004C4D76">
            <w:pPr>
              <w:spacing w:after="200" w:line="276" w:lineRule="auto"/>
              <w:rPr>
                <w:bCs/>
              </w:rPr>
            </w:pPr>
            <w:r w:rsidRPr="004C4D76">
              <w:rPr>
                <w:bCs/>
              </w:rPr>
              <w:t xml:space="preserve">Try to stick to a healthy diet and engage in some form of exercise. avoid unhealthy practices and dependencies such as: fast food, alcohol, medicine, drugs etc. </w:t>
            </w:r>
          </w:p>
        </w:tc>
      </w:tr>
      <w:tr w:rsidR="004C4D76" w:rsidRPr="004C4D76" w14:paraId="1A910EC5" w14:textId="77777777" w:rsidTr="001E7F45">
        <w:tc>
          <w:tcPr>
            <w:tcW w:w="6841" w:type="dxa"/>
            <w:shd w:val="clear" w:color="auto" w:fill="F2F2F2" w:themeFill="background1" w:themeFillShade="F2"/>
          </w:tcPr>
          <w:p w14:paraId="1A910EC4" w14:textId="77777777" w:rsidR="004C4D76" w:rsidRPr="004C4D76" w:rsidRDefault="004C4D76" w:rsidP="004C4D76">
            <w:pPr>
              <w:spacing w:after="200" w:line="276" w:lineRule="auto"/>
              <w:rPr>
                <w:bCs/>
              </w:rPr>
            </w:pPr>
            <w:r w:rsidRPr="004C4D76">
              <w:rPr>
                <w:bCs/>
              </w:rPr>
              <w:t>As time passes, you will be reassured that any worries you had about forgetting your loved one are unfounded and that they will always be an important part of your life and memories.</w:t>
            </w:r>
          </w:p>
        </w:tc>
      </w:tr>
      <w:tr w:rsidR="004C4D76" w:rsidRPr="004C4D76" w14:paraId="1A910EC7" w14:textId="77777777" w:rsidTr="001E7F45">
        <w:tc>
          <w:tcPr>
            <w:tcW w:w="6841" w:type="dxa"/>
            <w:shd w:val="clear" w:color="auto" w:fill="F2F2F2" w:themeFill="background1" w:themeFillShade="F2"/>
          </w:tcPr>
          <w:p w14:paraId="1A910EC6" w14:textId="77777777" w:rsidR="004C4D76" w:rsidRPr="004C4D76" w:rsidRDefault="004C4D76" w:rsidP="004C4D76">
            <w:pPr>
              <w:spacing w:after="200" w:line="276" w:lineRule="auto"/>
              <w:rPr>
                <w:b/>
                <w:bCs/>
              </w:rPr>
            </w:pPr>
            <w:r w:rsidRPr="004C4D76">
              <w:rPr>
                <w:bCs/>
              </w:rPr>
              <w:t>If the intensity of your feelings adversely affects your daily life, do not hesitate to contact your GP.</w:t>
            </w:r>
          </w:p>
        </w:tc>
      </w:tr>
    </w:tbl>
    <w:p w14:paraId="1A910EC8" w14:textId="77777777" w:rsidR="004C4D76" w:rsidRPr="004C4D76" w:rsidRDefault="004C4D76" w:rsidP="004C4D76">
      <w:pPr>
        <w:rPr>
          <w:b/>
          <w:lang w:val="en"/>
        </w:rPr>
      </w:pPr>
      <w:r w:rsidRPr="004C4D76">
        <w:rPr>
          <w:b/>
          <w:lang w:val="en"/>
        </w:rPr>
        <w:t>Source: British Psychological Society: Coping with death and bereavement during the Covid-19 pandemic. 2020.</w:t>
      </w:r>
    </w:p>
    <w:p w14:paraId="1A910EC9" w14:textId="77777777" w:rsidR="004C4D76" w:rsidRPr="00FB7A51" w:rsidRDefault="00FB7A51" w:rsidP="00FB7A51">
      <w:pPr>
        <w:pStyle w:val="Heading2"/>
      </w:pPr>
      <w:r w:rsidRPr="00FB7A51">
        <w:t xml:space="preserve">Impact on </w:t>
      </w:r>
      <w:r w:rsidR="004C4D76" w:rsidRPr="00FB7A51">
        <w:t>Domestic Abuse</w:t>
      </w:r>
    </w:p>
    <w:p w14:paraId="1A910ECA" w14:textId="77777777" w:rsidR="004C4D76" w:rsidRPr="004C4D76" w:rsidRDefault="004C4D76" w:rsidP="004C4D76">
      <w:r w:rsidRPr="004C4D76">
        <w:t xml:space="preserve">Domestic abuse includes abuse in relationships, as well as abuse between family members, such as adolescent to parent violence and abuse. Anyone can be a victim of domestic abuse, regardless of gender, age, ethnicity, socio-economic status, sexuality or background. Domestic abuse includes physical, sexual, psychological, emotional, financial and online abuse; as well as coercive control, harassment and stalking. </w:t>
      </w:r>
      <w:r w:rsidRPr="004C4D76">
        <w:rPr>
          <w:vertAlign w:val="superscript"/>
        </w:rPr>
        <w:endnoteReference w:id="44"/>
      </w:r>
      <w:r w:rsidRPr="004C4D76">
        <w:t xml:space="preserve"> </w:t>
      </w:r>
      <w:r w:rsidRPr="004C4D76">
        <w:rPr>
          <w:vertAlign w:val="superscript"/>
        </w:rPr>
        <w:endnoteReference w:id="45"/>
      </w:r>
      <w:r w:rsidRPr="004C4D76">
        <w:t xml:space="preserve"> </w:t>
      </w:r>
      <w:r w:rsidRPr="004C4D76">
        <w:rPr>
          <w:vertAlign w:val="superscript"/>
        </w:rPr>
        <w:endnoteReference w:id="46"/>
      </w:r>
      <w:r w:rsidRPr="004C4D76">
        <w:t xml:space="preserve"> Domestic abuse can be fatal. Risk factors for serious harm or homicide in domestic abuse include separation (attempt to end a violent relationship), </w:t>
      </w:r>
      <w:r w:rsidRPr="004C4D76">
        <w:t>pregnancy/new birth, isolation, use of drugs and alcohol, and use of weapons.</w:t>
      </w:r>
      <w:r w:rsidRPr="004C4D76">
        <w:rPr>
          <w:vertAlign w:val="superscript"/>
        </w:rPr>
        <w:endnoteReference w:id="47"/>
      </w:r>
      <w:r w:rsidR="00FB7A51">
        <w:t xml:space="preserve">   </w:t>
      </w:r>
      <w:r w:rsidRPr="004C4D76">
        <w:t xml:space="preserve">In the year ending March 2019, 5.7% of adults in England and Wales (2.4 million) experienced domestic abuse in the last year; 1.6 million women and 786,000 men. </w:t>
      </w:r>
      <w:proofErr w:type="gramStart"/>
      <w:r w:rsidRPr="004C4D76">
        <w:t>The majority of</w:t>
      </w:r>
      <w:proofErr w:type="gramEnd"/>
      <w:r w:rsidRPr="004C4D76">
        <w:t xml:space="preserve"> domestic abuse was between partners or ex-partners (4.2% of adults).</w:t>
      </w:r>
      <w:r w:rsidRPr="004C4D76">
        <w:rPr>
          <w:vertAlign w:val="superscript"/>
        </w:rPr>
        <w:endnoteReference w:id="48"/>
      </w:r>
      <w:r w:rsidRPr="004C4D76">
        <w:t xml:space="preserve">  </w:t>
      </w:r>
    </w:p>
    <w:p w14:paraId="1A910ECB" w14:textId="77777777" w:rsidR="004C4D76" w:rsidRPr="004C4D76" w:rsidRDefault="004C4D76" w:rsidP="00FB7A51">
      <w:pPr>
        <w:pStyle w:val="Heading3"/>
      </w:pPr>
      <w:r w:rsidRPr="004C4D76">
        <w:t>Impact of COVID-19</w:t>
      </w:r>
    </w:p>
    <w:p w14:paraId="1A910ECC" w14:textId="77777777" w:rsidR="004C4D76" w:rsidRPr="004C4D76" w:rsidRDefault="004C4D76" w:rsidP="004C4D76">
      <w:r w:rsidRPr="004C4D76">
        <w:t>Calls and contacts to helplines have increased during the crisis. The National Domestic Abuse Helpline run by refuge reported a 49% increase in calls and contacts in the week prior to 15 April compared to the average prior to the pandemic. There are reports of more complex, serious and violent incidents of domestic abuse occurring. Refuges for victims are also struggling due to shielding and social distancing requirements.</w:t>
      </w:r>
      <w:r w:rsidRPr="004C4D76">
        <w:rPr>
          <w:vertAlign w:val="superscript"/>
        </w:rPr>
        <w:t xml:space="preserve"> </w:t>
      </w:r>
      <w:bookmarkStart w:id="12" w:name="_Ref40297083"/>
      <w:r w:rsidRPr="004C4D76">
        <w:rPr>
          <w:vertAlign w:val="superscript"/>
        </w:rPr>
        <w:endnoteReference w:id="49"/>
      </w:r>
      <w:bookmarkEnd w:id="12"/>
      <w:r w:rsidRPr="004C4D76">
        <w:rPr>
          <w:vertAlign w:val="superscript"/>
        </w:rPr>
        <w:t xml:space="preserve"> </w:t>
      </w:r>
      <w:r w:rsidRPr="004C4D76">
        <w:t xml:space="preserve">Childline reports abuse as one of the main concerns of children expressed during the pandemic, as well as mental health, reduced support, family relationships, schoolwork at home, and bullying. </w:t>
      </w:r>
      <w:r w:rsidRPr="004C4D76">
        <w:fldChar w:fldCharType="begin"/>
      </w:r>
      <w:r w:rsidRPr="004C4D76">
        <w:instrText xml:space="preserve"> NOTEREF _Ref40297083 \f \h  \* MERGEFORMAT </w:instrText>
      </w:r>
      <w:r w:rsidRPr="004C4D76">
        <w:fldChar w:fldCharType="separate"/>
      </w:r>
      <w:r w:rsidRPr="004C4D76">
        <w:rPr>
          <w:vertAlign w:val="superscript"/>
        </w:rPr>
        <w:t>13</w:t>
      </w:r>
      <w:r w:rsidRPr="004C4D76">
        <w:fldChar w:fldCharType="end"/>
      </w:r>
      <w:r w:rsidRPr="004C4D76">
        <w:t xml:space="preserve"> </w:t>
      </w:r>
      <w:r w:rsidRPr="004C4D76">
        <w:rPr>
          <w:vertAlign w:val="superscript"/>
        </w:rPr>
        <w:endnoteReference w:id="50"/>
      </w:r>
    </w:p>
    <w:p w14:paraId="1A910ECD" w14:textId="77777777" w:rsidR="004C4D76" w:rsidRPr="004C4D76" w:rsidRDefault="00FB7A51" w:rsidP="00FB7A51">
      <w:pPr>
        <w:pStyle w:val="Heading3"/>
      </w:pPr>
      <w:r>
        <w:t>Getting Help for Domestic Abuse</w:t>
      </w:r>
    </w:p>
    <w:p w14:paraId="1A910ECE" w14:textId="77777777" w:rsidR="004C4D76" w:rsidRPr="004C4D76" w:rsidRDefault="004C4D76" w:rsidP="004C4D76">
      <w:r w:rsidRPr="004C4D76">
        <w:t xml:space="preserve">Hestia has launched a safe space campaign with some outlets of Boots and Superdrug pharmacies and Morrisons. Victims will be able to pick up leaflets containing details of the </w:t>
      </w:r>
      <w:proofErr w:type="spellStart"/>
      <w:r w:rsidRPr="004C4D76">
        <w:t>NationalDomestic</w:t>
      </w:r>
      <w:proofErr w:type="spellEnd"/>
      <w:r w:rsidRPr="004C4D76">
        <w:t xml:space="preserve"> Abuse Helpline and Hestia services and use the consultation room to contact services.</w:t>
      </w:r>
      <w:r w:rsidRPr="004C4D76">
        <w:rPr>
          <w:vertAlign w:val="superscript"/>
        </w:rPr>
        <w:endnoteReference w:id="51"/>
      </w:r>
      <w:r w:rsidRPr="004C4D76">
        <w:t xml:space="preserve"> </w:t>
      </w:r>
      <w:r w:rsidRPr="004C4D76">
        <w:rPr>
          <w:vertAlign w:val="superscript"/>
        </w:rPr>
        <w:endnoteReference w:id="52"/>
      </w:r>
      <w:r w:rsidRPr="004C4D76">
        <w:t xml:space="preserve"> </w:t>
      </w:r>
      <w:r w:rsidRPr="004C4D76">
        <w:rPr>
          <w:vertAlign w:val="superscript"/>
        </w:rPr>
        <w:endnoteReference w:id="53"/>
      </w:r>
      <w:r w:rsidRPr="004C4D76">
        <w:t xml:space="preserve">  </w:t>
      </w:r>
    </w:p>
    <w:p w14:paraId="1A910ECF" w14:textId="77777777" w:rsidR="004C4D76" w:rsidRPr="004C4D76" w:rsidRDefault="004C4D76" w:rsidP="00FB7A51">
      <w:pPr>
        <w:spacing w:after="0"/>
        <w:rPr>
          <w:lang w:val="en"/>
        </w:rPr>
      </w:pPr>
      <w:r w:rsidRPr="004C4D76">
        <w:rPr>
          <w:i/>
          <w:iCs/>
          <w:lang w:val="en"/>
        </w:rPr>
        <w:t xml:space="preserve">Tel: </w:t>
      </w:r>
      <w:r w:rsidRPr="004C4D76">
        <w:rPr>
          <w:lang w:val="en"/>
        </w:rPr>
        <w:t xml:space="preserve">02089078148, (Monday-Friday – 9-5pm) </w:t>
      </w:r>
    </w:p>
    <w:p w14:paraId="1A910ED0" w14:textId="77777777" w:rsidR="004C4D76" w:rsidRPr="004C4D76" w:rsidRDefault="004C4D76" w:rsidP="00FB7A51">
      <w:pPr>
        <w:spacing w:after="0"/>
        <w:rPr>
          <w:lang w:val="en"/>
        </w:rPr>
      </w:pPr>
      <w:r w:rsidRPr="004C4D76">
        <w:rPr>
          <w:lang w:val="en"/>
        </w:rPr>
        <w:t xml:space="preserve">Email: </w:t>
      </w:r>
      <w:hyperlink r:id="rId47" w:tgtFrame="_blank" w:history="1">
        <w:r w:rsidRPr="004C4D76">
          <w:rPr>
            <w:rStyle w:val="Hyperlink"/>
            <w:lang w:val="en"/>
          </w:rPr>
          <w:t>idva.harrow@hestia.org</w:t>
        </w:r>
      </w:hyperlink>
      <w:r w:rsidRPr="004C4D76">
        <w:rPr>
          <w:lang w:val="en"/>
        </w:rPr>
        <w:t xml:space="preserve"> </w:t>
      </w:r>
    </w:p>
    <w:p w14:paraId="1A910ED1" w14:textId="77777777" w:rsidR="004C4D76" w:rsidRPr="004C4D76" w:rsidRDefault="004C4D76" w:rsidP="00FB7A51">
      <w:r w:rsidRPr="004C4D76">
        <w:rPr>
          <w:lang w:val="en"/>
        </w:rPr>
        <w:lastRenderedPageBreak/>
        <w:t xml:space="preserve">Websites: </w:t>
      </w:r>
      <w:hyperlink r:id="rId48" w:history="1">
        <w:r w:rsidRPr="004C4D76">
          <w:rPr>
            <w:rStyle w:val="Hyperlink"/>
            <w:lang w:val="en"/>
          </w:rPr>
          <w:t>https://www.hestia.org/domestic-abuse</w:t>
        </w:r>
      </w:hyperlink>
      <w:r w:rsidRPr="004C4D76">
        <w:rPr>
          <w:lang w:val="en"/>
        </w:rPr>
        <w:t xml:space="preserve"> </w:t>
      </w:r>
    </w:p>
    <w:p w14:paraId="1A910ED2" w14:textId="77777777" w:rsidR="004C4D76" w:rsidRPr="004C4D76" w:rsidRDefault="004C4D76" w:rsidP="00FB7A51">
      <w:pPr>
        <w:spacing w:after="0"/>
      </w:pPr>
      <w:r w:rsidRPr="004C4D76">
        <w:t>Other local services are listed on the Council website:</w:t>
      </w:r>
    </w:p>
    <w:p w14:paraId="1A910ED3" w14:textId="77777777" w:rsidR="004C4D76" w:rsidRPr="004C4D76" w:rsidRDefault="00F00FD8" w:rsidP="004C4D76">
      <w:hyperlink r:id="rId49" w:history="1">
        <w:r w:rsidR="004C4D76" w:rsidRPr="004C4D76">
          <w:rPr>
            <w:rStyle w:val="Hyperlink"/>
            <w:lang w:val="en"/>
          </w:rPr>
          <w:t>https://www.harrow.gov.uk/adult-social-care/staying-safe</w:t>
        </w:r>
      </w:hyperlink>
      <w:r w:rsidR="004C4D76" w:rsidRPr="004C4D76">
        <w:rPr>
          <w:lang w:val="en"/>
        </w:rPr>
        <w:t xml:space="preserve"> </w:t>
      </w:r>
    </w:p>
    <w:p w14:paraId="1A910ED4" w14:textId="77777777" w:rsidR="004C4D76" w:rsidRPr="004C4D76" w:rsidRDefault="004C4D76" w:rsidP="004C4D76">
      <w:pPr>
        <w:rPr>
          <w:b/>
          <w:bCs/>
        </w:rPr>
      </w:pPr>
      <w:r w:rsidRPr="004C4D76">
        <w:rPr>
          <w:b/>
          <w:bCs/>
        </w:rPr>
        <w:t>Key communication messages</w:t>
      </w:r>
    </w:p>
    <w:tbl>
      <w:tblPr>
        <w:tblStyle w:val="TableGrid"/>
        <w:tblW w:w="0" w:type="auto"/>
        <w:shd w:val="clear" w:color="auto" w:fill="F2F2F2" w:themeFill="background1" w:themeFillShade="F2"/>
        <w:tblLook w:val="04A0" w:firstRow="1" w:lastRow="0" w:firstColumn="1" w:lastColumn="0" w:noHBand="0" w:noVBand="1"/>
      </w:tblPr>
      <w:tblGrid>
        <w:gridCol w:w="6841"/>
      </w:tblGrid>
      <w:tr w:rsidR="004C4D76" w:rsidRPr="004C4D76" w14:paraId="1A910ED9" w14:textId="77777777" w:rsidTr="001E7F45">
        <w:tc>
          <w:tcPr>
            <w:tcW w:w="6841" w:type="dxa"/>
            <w:shd w:val="clear" w:color="auto" w:fill="F2F2F2" w:themeFill="background1" w:themeFillShade="F2"/>
          </w:tcPr>
          <w:p w14:paraId="1A910ED5" w14:textId="77777777" w:rsidR="004C4D76" w:rsidRPr="004C4D76" w:rsidRDefault="004C4D76" w:rsidP="004C4D76">
            <w:pPr>
              <w:spacing w:after="200" w:line="276" w:lineRule="auto"/>
            </w:pPr>
            <w:r w:rsidRPr="004C4D76">
              <w:t>There is never an excuse for domestic abuse, no matter what the circumstances are. The ‘Stay at Home’ instruction does not apply to escape domestic abuse.</w:t>
            </w:r>
          </w:p>
          <w:p w14:paraId="1A910ED6" w14:textId="77777777" w:rsidR="004C4D76" w:rsidRPr="004C4D76" w:rsidRDefault="004C4D76" w:rsidP="004C4D76">
            <w:pPr>
              <w:spacing w:after="200" w:line="276" w:lineRule="auto"/>
              <w:rPr>
                <w:b/>
                <w:bCs/>
                <w:u w:val="single"/>
              </w:rPr>
            </w:pPr>
            <w:r w:rsidRPr="004C4D76">
              <w:t xml:space="preserve">For ways to recognise domestic abuse and ways to find help go to </w:t>
            </w:r>
            <w:hyperlink r:id="rId50" w:history="1">
              <w:r w:rsidRPr="004C4D76">
                <w:rPr>
                  <w:rStyle w:val="Hyperlink"/>
                </w:rPr>
                <w:t>www.gov.uk/domestic-abuse</w:t>
              </w:r>
            </w:hyperlink>
            <w:r w:rsidRPr="004C4D76">
              <w:rPr>
                <w:b/>
                <w:bCs/>
                <w:u w:val="single"/>
              </w:rPr>
              <w:t xml:space="preserve"> </w:t>
            </w:r>
          </w:p>
          <w:p w14:paraId="1A910ED7" w14:textId="77777777" w:rsidR="004C4D76" w:rsidRPr="004C4D76" w:rsidRDefault="00F00FD8" w:rsidP="004C4D76">
            <w:pPr>
              <w:spacing w:after="200" w:line="276" w:lineRule="auto"/>
              <w:rPr>
                <w:lang w:val="en"/>
              </w:rPr>
            </w:pPr>
            <w:hyperlink r:id="rId51" w:history="1">
              <w:r w:rsidR="004C4D76" w:rsidRPr="004C4D76">
                <w:rPr>
                  <w:rStyle w:val="Hyperlink"/>
                  <w:lang w:val="en"/>
                </w:rPr>
                <w:t>https://www.harrow.gov.uk/adult-social-care/staying-safe</w:t>
              </w:r>
            </w:hyperlink>
            <w:r w:rsidR="004C4D76" w:rsidRPr="004C4D76">
              <w:rPr>
                <w:lang w:val="en"/>
              </w:rPr>
              <w:t xml:space="preserve"> </w:t>
            </w:r>
          </w:p>
          <w:p w14:paraId="1A910ED8" w14:textId="77777777" w:rsidR="004C4D76" w:rsidRPr="004C4D76" w:rsidRDefault="004C4D76" w:rsidP="004C4D76">
            <w:pPr>
              <w:spacing w:after="200" w:line="276" w:lineRule="auto"/>
            </w:pPr>
            <w:r w:rsidRPr="004C4D76">
              <w:rPr>
                <w:b/>
                <w:bCs/>
              </w:rPr>
              <w:t>or use</w:t>
            </w:r>
            <w:r w:rsidRPr="004C4D76">
              <w:rPr>
                <w:b/>
                <w:bCs/>
                <w:u w:val="single"/>
              </w:rPr>
              <w:t xml:space="preserve"> #</w:t>
            </w:r>
            <w:proofErr w:type="spellStart"/>
            <w:r w:rsidRPr="004C4D76">
              <w:rPr>
                <w:b/>
                <w:bCs/>
                <w:u w:val="single"/>
              </w:rPr>
              <w:t>youarenotalone</w:t>
            </w:r>
            <w:proofErr w:type="spellEnd"/>
          </w:p>
        </w:tc>
      </w:tr>
    </w:tbl>
    <w:p w14:paraId="1A910EDA" w14:textId="77777777" w:rsidR="004C4D76" w:rsidRPr="004C4D76" w:rsidRDefault="00FB7A51" w:rsidP="00FB7A51">
      <w:pPr>
        <w:pStyle w:val="Heading3"/>
      </w:pPr>
      <w:r>
        <w:t xml:space="preserve">Impact on </w:t>
      </w:r>
      <w:r w:rsidR="004C4D76" w:rsidRPr="004C4D76">
        <w:t>Weight Management</w:t>
      </w:r>
    </w:p>
    <w:p w14:paraId="1A910EDB" w14:textId="77777777" w:rsidR="00FB7A51" w:rsidRPr="004C4D76" w:rsidRDefault="004C4D76" w:rsidP="004C4D76">
      <w:r w:rsidRPr="004C4D76">
        <w:t>Weight management is the control we have over our weight. It is influenced by our lifestyle and any clinical interventions. Body mass index (BMI) is calculated from your weight and height, with the result used to check if you’re a healthy weight for your age and gender. A BMI over 30 is considered obese and will increase the risk of developing conditions such as diabetes, stroke, some cancers and poor mental health.</w:t>
      </w:r>
      <w:r w:rsidRPr="004C4D76">
        <w:rPr>
          <w:vertAlign w:val="superscript"/>
        </w:rPr>
        <w:endnoteReference w:id="54"/>
      </w:r>
      <w:r w:rsidR="00FB7A51">
        <w:t xml:space="preserve"> </w:t>
      </w:r>
    </w:p>
    <w:p w14:paraId="1A910EDC" w14:textId="77777777" w:rsidR="004C4D76" w:rsidRDefault="004C4D76" w:rsidP="004C4D76">
      <w:pPr>
        <w:rPr>
          <w:vertAlign w:val="superscript"/>
        </w:rPr>
      </w:pPr>
      <w:r w:rsidRPr="004C4D76">
        <w:t xml:space="preserve">In 2018/19 the Active Lives Survey by Sport England estimated that over half (54.8%) adults in Harrow were overweight or obese. Data </w:t>
      </w:r>
      <w:r w:rsidRPr="004C4D76">
        <w:t>from the National Childhood Measurement Programme estimates that 17.9% of Reception children (4-5 years) and 36.7% of Year 6 children (10-11 years) in Harrow were overweight or obese.</w:t>
      </w:r>
      <w:r w:rsidRPr="004C4D76">
        <w:rPr>
          <w:vertAlign w:val="superscript"/>
        </w:rPr>
        <w:t xml:space="preserve"> </w:t>
      </w:r>
      <w:r w:rsidRPr="004C4D76">
        <w:rPr>
          <w:vertAlign w:val="superscript"/>
        </w:rPr>
        <w:endnoteReference w:id="55"/>
      </w:r>
    </w:p>
    <w:tbl>
      <w:tblPr>
        <w:tblStyle w:val="TableGrid"/>
        <w:tblW w:w="0" w:type="auto"/>
        <w:tblLook w:val="04A0" w:firstRow="1" w:lastRow="0" w:firstColumn="1" w:lastColumn="0" w:noHBand="0" w:noVBand="1"/>
      </w:tblPr>
      <w:tblGrid>
        <w:gridCol w:w="3565"/>
        <w:gridCol w:w="1255"/>
        <w:gridCol w:w="1023"/>
        <w:gridCol w:w="998"/>
      </w:tblGrid>
      <w:tr w:rsidR="004C4D76" w:rsidRPr="004C4D76" w14:paraId="1A910EE1" w14:textId="77777777" w:rsidTr="001E7F45">
        <w:trPr>
          <w:trHeight w:hRule="exact" w:val="283"/>
        </w:trPr>
        <w:tc>
          <w:tcPr>
            <w:tcW w:w="3565" w:type="dxa"/>
            <w:tcBorders>
              <w:top w:val="nil"/>
              <w:left w:val="nil"/>
              <w:bottom w:val="nil"/>
              <w:right w:val="nil"/>
            </w:tcBorders>
          </w:tcPr>
          <w:p w14:paraId="1A910EDD" w14:textId="77777777" w:rsidR="004C4D76" w:rsidRPr="004C4D76" w:rsidRDefault="004C4D76" w:rsidP="004C4D76">
            <w:pPr>
              <w:spacing w:after="200" w:line="276" w:lineRule="auto"/>
            </w:pPr>
          </w:p>
        </w:tc>
        <w:tc>
          <w:tcPr>
            <w:tcW w:w="1255" w:type="dxa"/>
            <w:tcBorders>
              <w:top w:val="nil"/>
              <w:left w:val="nil"/>
              <w:bottom w:val="nil"/>
              <w:right w:val="nil"/>
            </w:tcBorders>
          </w:tcPr>
          <w:p w14:paraId="1A910EDE" w14:textId="77777777" w:rsidR="004C4D76" w:rsidRPr="004C4D76" w:rsidRDefault="004C4D76" w:rsidP="004C4D76">
            <w:pPr>
              <w:spacing w:after="200" w:line="276" w:lineRule="auto"/>
            </w:pPr>
            <w:r w:rsidRPr="004C4D76">
              <w:t>Harrow</w:t>
            </w:r>
          </w:p>
        </w:tc>
        <w:tc>
          <w:tcPr>
            <w:tcW w:w="1023" w:type="dxa"/>
            <w:tcBorders>
              <w:top w:val="nil"/>
              <w:left w:val="nil"/>
              <w:bottom w:val="nil"/>
              <w:right w:val="nil"/>
            </w:tcBorders>
          </w:tcPr>
          <w:p w14:paraId="1A910EDF" w14:textId="77777777" w:rsidR="004C4D76" w:rsidRPr="004C4D76" w:rsidRDefault="004C4D76" w:rsidP="004C4D76">
            <w:pPr>
              <w:spacing w:after="200" w:line="276" w:lineRule="auto"/>
            </w:pPr>
            <w:r w:rsidRPr="004C4D76">
              <w:t>London</w:t>
            </w:r>
          </w:p>
        </w:tc>
        <w:tc>
          <w:tcPr>
            <w:tcW w:w="998" w:type="dxa"/>
            <w:tcBorders>
              <w:top w:val="nil"/>
              <w:left w:val="nil"/>
              <w:bottom w:val="nil"/>
              <w:right w:val="nil"/>
            </w:tcBorders>
          </w:tcPr>
          <w:p w14:paraId="1A910EE0" w14:textId="77777777" w:rsidR="004C4D76" w:rsidRPr="004C4D76" w:rsidRDefault="004C4D76" w:rsidP="004C4D76">
            <w:pPr>
              <w:spacing w:after="200" w:line="276" w:lineRule="auto"/>
            </w:pPr>
            <w:r w:rsidRPr="004C4D76">
              <w:t>England</w:t>
            </w:r>
          </w:p>
        </w:tc>
      </w:tr>
      <w:tr w:rsidR="004C4D76" w:rsidRPr="004C4D76" w14:paraId="1A910EE6" w14:textId="77777777" w:rsidTr="001E7F45">
        <w:trPr>
          <w:trHeight w:val="756"/>
        </w:trPr>
        <w:tc>
          <w:tcPr>
            <w:tcW w:w="3565" w:type="dxa"/>
            <w:tcBorders>
              <w:top w:val="nil"/>
              <w:left w:val="nil"/>
              <w:bottom w:val="single" w:sz="4" w:space="0" w:color="auto"/>
            </w:tcBorders>
            <w:vAlign w:val="bottom"/>
          </w:tcPr>
          <w:p w14:paraId="1A910EE2" w14:textId="77777777" w:rsidR="004C4D76" w:rsidRPr="004C4D76" w:rsidRDefault="004C4D76" w:rsidP="004C4D76">
            <w:pPr>
              <w:spacing w:after="200" w:line="276" w:lineRule="auto"/>
            </w:pPr>
            <w:r w:rsidRPr="004C4D76">
              <w:t>Reception: Prevalence of overweight (including obesity) 2018/19</w:t>
            </w:r>
          </w:p>
        </w:tc>
        <w:tc>
          <w:tcPr>
            <w:tcW w:w="1255" w:type="dxa"/>
            <w:tcBorders>
              <w:top w:val="nil"/>
            </w:tcBorders>
            <w:vAlign w:val="center"/>
          </w:tcPr>
          <w:p w14:paraId="1A910EE3" w14:textId="77777777" w:rsidR="004C4D76" w:rsidRPr="004C4D76" w:rsidRDefault="004C4D76" w:rsidP="004C4D76">
            <w:pPr>
              <w:spacing w:after="200" w:line="276" w:lineRule="auto"/>
            </w:pPr>
            <w:r w:rsidRPr="004C4D76">
              <w:t>17.9%</w:t>
            </w:r>
          </w:p>
        </w:tc>
        <w:tc>
          <w:tcPr>
            <w:tcW w:w="1023" w:type="dxa"/>
            <w:tcBorders>
              <w:top w:val="nil"/>
            </w:tcBorders>
            <w:vAlign w:val="center"/>
          </w:tcPr>
          <w:p w14:paraId="1A910EE4" w14:textId="77777777" w:rsidR="004C4D76" w:rsidRPr="004C4D76" w:rsidRDefault="004C4D76" w:rsidP="004C4D76">
            <w:pPr>
              <w:spacing w:after="200" w:line="276" w:lineRule="auto"/>
            </w:pPr>
            <w:r w:rsidRPr="004C4D76">
              <w:t>21.8%</w:t>
            </w:r>
          </w:p>
        </w:tc>
        <w:tc>
          <w:tcPr>
            <w:tcW w:w="998" w:type="dxa"/>
            <w:tcBorders>
              <w:top w:val="nil"/>
              <w:right w:val="nil"/>
            </w:tcBorders>
            <w:vAlign w:val="center"/>
          </w:tcPr>
          <w:p w14:paraId="1A910EE5" w14:textId="77777777" w:rsidR="004C4D76" w:rsidRPr="004C4D76" w:rsidRDefault="004C4D76" w:rsidP="004C4D76">
            <w:pPr>
              <w:spacing w:after="200" w:line="276" w:lineRule="auto"/>
            </w:pPr>
            <w:r w:rsidRPr="004C4D76">
              <w:t>22.6%</w:t>
            </w:r>
          </w:p>
        </w:tc>
      </w:tr>
      <w:tr w:rsidR="004C4D76" w:rsidRPr="004C4D76" w14:paraId="1A910EEB" w14:textId="77777777" w:rsidTr="001E7F45">
        <w:tc>
          <w:tcPr>
            <w:tcW w:w="3565" w:type="dxa"/>
            <w:tcBorders>
              <w:left w:val="nil"/>
              <w:bottom w:val="single" w:sz="4" w:space="0" w:color="auto"/>
            </w:tcBorders>
            <w:vAlign w:val="bottom"/>
          </w:tcPr>
          <w:p w14:paraId="1A910EE7" w14:textId="77777777" w:rsidR="004C4D76" w:rsidRPr="004C4D76" w:rsidRDefault="004C4D76" w:rsidP="004C4D76">
            <w:pPr>
              <w:spacing w:after="200" w:line="276" w:lineRule="auto"/>
            </w:pPr>
            <w:r w:rsidRPr="004C4D76">
              <w:t>Year 6: Prevalence of overweight (including obesity) 2018/19</w:t>
            </w:r>
          </w:p>
        </w:tc>
        <w:tc>
          <w:tcPr>
            <w:tcW w:w="1255" w:type="dxa"/>
            <w:tcBorders>
              <w:bottom w:val="single" w:sz="4" w:space="0" w:color="auto"/>
            </w:tcBorders>
            <w:vAlign w:val="center"/>
          </w:tcPr>
          <w:p w14:paraId="1A910EE8" w14:textId="77777777" w:rsidR="004C4D76" w:rsidRPr="004C4D76" w:rsidRDefault="004C4D76" w:rsidP="004C4D76">
            <w:pPr>
              <w:spacing w:after="200" w:line="276" w:lineRule="auto"/>
            </w:pPr>
            <w:r w:rsidRPr="004C4D76">
              <w:t>36.7%</w:t>
            </w:r>
          </w:p>
        </w:tc>
        <w:tc>
          <w:tcPr>
            <w:tcW w:w="1023" w:type="dxa"/>
            <w:tcBorders>
              <w:bottom w:val="single" w:sz="4" w:space="0" w:color="auto"/>
            </w:tcBorders>
            <w:vAlign w:val="center"/>
          </w:tcPr>
          <w:p w14:paraId="1A910EE9" w14:textId="77777777" w:rsidR="004C4D76" w:rsidRPr="004C4D76" w:rsidRDefault="004C4D76" w:rsidP="004C4D76">
            <w:pPr>
              <w:spacing w:after="200" w:line="276" w:lineRule="auto"/>
            </w:pPr>
            <w:r w:rsidRPr="004C4D76">
              <w:t>37.9%</w:t>
            </w:r>
          </w:p>
        </w:tc>
        <w:tc>
          <w:tcPr>
            <w:tcW w:w="998" w:type="dxa"/>
            <w:tcBorders>
              <w:bottom w:val="single" w:sz="4" w:space="0" w:color="auto"/>
              <w:right w:val="nil"/>
            </w:tcBorders>
            <w:vAlign w:val="center"/>
          </w:tcPr>
          <w:p w14:paraId="1A910EEA" w14:textId="77777777" w:rsidR="004C4D76" w:rsidRPr="004C4D76" w:rsidRDefault="004C4D76" w:rsidP="004C4D76">
            <w:pPr>
              <w:spacing w:after="200" w:line="276" w:lineRule="auto"/>
            </w:pPr>
            <w:r w:rsidRPr="004C4D76">
              <w:t>34.3%</w:t>
            </w:r>
          </w:p>
        </w:tc>
      </w:tr>
      <w:tr w:rsidR="004C4D76" w:rsidRPr="004C4D76" w14:paraId="1A910EF0" w14:textId="77777777" w:rsidTr="001E7F45">
        <w:tc>
          <w:tcPr>
            <w:tcW w:w="3565" w:type="dxa"/>
            <w:tcBorders>
              <w:left w:val="nil"/>
              <w:bottom w:val="nil"/>
            </w:tcBorders>
            <w:vAlign w:val="bottom"/>
          </w:tcPr>
          <w:p w14:paraId="1A910EEC" w14:textId="77777777" w:rsidR="004C4D76" w:rsidRPr="004C4D76" w:rsidRDefault="004C4D76" w:rsidP="004C4D76">
            <w:pPr>
              <w:spacing w:after="200" w:line="276" w:lineRule="auto"/>
            </w:pPr>
            <w:r w:rsidRPr="004C4D76">
              <w:t>Adults (aged 18+) classified as overweight or obese 2018/19</w:t>
            </w:r>
          </w:p>
        </w:tc>
        <w:tc>
          <w:tcPr>
            <w:tcW w:w="1255" w:type="dxa"/>
            <w:tcBorders>
              <w:bottom w:val="nil"/>
            </w:tcBorders>
            <w:vAlign w:val="center"/>
          </w:tcPr>
          <w:p w14:paraId="1A910EED" w14:textId="77777777" w:rsidR="004C4D76" w:rsidRPr="004C4D76" w:rsidRDefault="004C4D76" w:rsidP="004C4D76">
            <w:pPr>
              <w:spacing w:after="200" w:line="276" w:lineRule="auto"/>
            </w:pPr>
            <w:r w:rsidRPr="004C4D76">
              <w:t>54.8%</w:t>
            </w:r>
          </w:p>
        </w:tc>
        <w:tc>
          <w:tcPr>
            <w:tcW w:w="1023" w:type="dxa"/>
            <w:tcBorders>
              <w:bottom w:val="nil"/>
            </w:tcBorders>
            <w:vAlign w:val="center"/>
          </w:tcPr>
          <w:p w14:paraId="1A910EEE" w14:textId="77777777" w:rsidR="004C4D76" w:rsidRPr="004C4D76" w:rsidRDefault="004C4D76" w:rsidP="004C4D76">
            <w:pPr>
              <w:spacing w:after="200" w:line="276" w:lineRule="auto"/>
            </w:pPr>
            <w:r w:rsidRPr="004C4D76">
              <w:t>55.9%</w:t>
            </w:r>
          </w:p>
        </w:tc>
        <w:tc>
          <w:tcPr>
            <w:tcW w:w="998" w:type="dxa"/>
            <w:tcBorders>
              <w:bottom w:val="nil"/>
              <w:right w:val="nil"/>
            </w:tcBorders>
            <w:vAlign w:val="center"/>
          </w:tcPr>
          <w:p w14:paraId="1A910EEF" w14:textId="77777777" w:rsidR="004C4D76" w:rsidRPr="004C4D76" w:rsidRDefault="004C4D76" w:rsidP="004C4D76">
            <w:pPr>
              <w:spacing w:after="200" w:line="276" w:lineRule="auto"/>
            </w:pPr>
            <w:r w:rsidRPr="004C4D76">
              <w:t>62.3%</w:t>
            </w:r>
          </w:p>
        </w:tc>
      </w:tr>
    </w:tbl>
    <w:p w14:paraId="1A910EF1" w14:textId="77777777" w:rsidR="004C4D76" w:rsidRPr="004C4D76" w:rsidRDefault="004C4D76" w:rsidP="004C4D76">
      <w:r w:rsidRPr="004C4D76">
        <w:rPr>
          <w:b/>
        </w:rPr>
        <w:t>Source: PHE fingertips accessed May 2020</w:t>
      </w:r>
    </w:p>
    <w:p w14:paraId="1A910EF2" w14:textId="77777777" w:rsidR="004C4D76" w:rsidRPr="004C4D76" w:rsidRDefault="004C4D76" w:rsidP="004C4D76"/>
    <w:p w14:paraId="1A910EF3" w14:textId="77777777" w:rsidR="004C4D76" w:rsidRPr="004C4D76" w:rsidRDefault="004C4D76" w:rsidP="004C4D76">
      <w:r w:rsidRPr="004C4D76">
        <w:t xml:space="preserve">The environment in which our residents live affects both how active they are and what they eat. In ordinary times Fast-food, which is generally high in energy content and low in nutritional value, is both affordable and readily available </w:t>
      </w:r>
      <w:proofErr w:type="gramStart"/>
      <w:r w:rsidRPr="004C4D76">
        <w:t>all across</w:t>
      </w:r>
      <w:proofErr w:type="gramEnd"/>
      <w:r w:rsidRPr="004C4D76">
        <w:t xml:space="preserve"> Harrow. Both affordability and convenience we know impacts on people’s choice of food. In 2019 there were 12 Harrow schools found to have more than 4 fast-food outlets within 400m of the school.</w:t>
      </w:r>
      <w:r w:rsidRPr="004C4D76">
        <w:rPr>
          <w:vertAlign w:val="superscript"/>
        </w:rPr>
        <w:endnoteReference w:id="56"/>
      </w:r>
      <w:r w:rsidRPr="004C4D76">
        <w:t xml:space="preserve"> In a recent Residents survey in Harrow (2019) people in Harrow said they would like healthier convenience food options available.</w:t>
      </w:r>
    </w:p>
    <w:p w14:paraId="1A910EF4" w14:textId="77777777" w:rsidR="004C4D76" w:rsidRPr="004C4D76" w:rsidRDefault="004C4D76" w:rsidP="00FB7A51">
      <w:pPr>
        <w:pStyle w:val="Heading3"/>
      </w:pPr>
      <w:r w:rsidRPr="004C4D76">
        <w:lastRenderedPageBreak/>
        <w:t>Impact of Covid-19</w:t>
      </w:r>
    </w:p>
    <w:p w14:paraId="1A910EF5" w14:textId="77777777" w:rsidR="004C4D76" w:rsidRPr="004C4D76" w:rsidRDefault="004C4D76" w:rsidP="004C4D76">
      <w:r w:rsidRPr="004C4D76">
        <w:t xml:space="preserve">The impact of the lock down is not yet fully understood on levels of obesity. There is some evidence that children gain more weight during summer vacations than during the structured school year, and the impact of Covid-19 could have a similar effect. </w:t>
      </w:r>
      <w:proofErr w:type="gramStart"/>
      <w:r w:rsidRPr="004C4D76">
        <w:t>However</w:t>
      </w:r>
      <w:proofErr w:type="gramEnd"/>
      <w:r w:rsidRPr="004C4D76">
        <w:t xml:space="preserve"> the direct impact of adults is less understood.</w:t>
      </w:r>
    </w:p>
    <w:p w14:paraId="1A910EF6" w14:textId="77777777" w:rsidR="004C4D76" w:rsidRPr="004C4D76" w:rsidRDefault="00FB7A51" w:rsidP="00FB7A51">
      <w:pPr>
        <w:pStyle w:val="Heading3"/>
      </w:pPr>
      <w:r>
        <w:t>Help on Managing your weight</w:t>
      </w:r>
    </w:p>
    <w:p w14:paraId="1A910EF7" w14:textId="77777777" w:rsidR="004C4D76" w:rsidRPr="004C4D76" w:rsidRDefault="004C4D76" w:rsidP="004C4D76">
      <w:r w:rsidRPr="004C4D76">
        <w:t xml:space="preserve">The Shape Up weight management service is provided by Watford FCs Community and Sports Education Trust for anyone with a BMI over 30 between the age of 18 and 65. It is commissioned by the Harrow Public Health Team. In 2019/20 the service helped over 130 people to manage their weight. </w:t>
      </w:r>
      <w:proofErr w:type="gramStart"/>
      <w:r w:rsidRPr="004C4D76">
        <w:t>However</w:t>
      </w:r>
      <w:proofErr w:type="gramEnd"/>
      <w:r w:rsidRPr="004C4D76">
        <w:t xml:space="preserve"> the service has been affected by social distancing measures, and the course has changed to an online service in April. There are 70 participants across Harrow and Herts with positive feedback. Further courses with digital options for those that find attending courses tricky with caring responsibilities will be available later in the summer and will take a form that is appropriate to the latest social distancing guidelines.</w:t>
      </w:r>
    </w:p>
    <w:p w14:paraId="1A910EF8" w14:textId="77777777" w:rsidR="004C4D76" w:rsidRPr="004C4D76" w:rsidRDefault="004C4D76" w:rsidP="00FB7A51">
      <w:pPr>
        <w:pStyle w:val="Heading3"/>
      </w:pPr>
      <w:r w:rsidRPr="004C4D76">
        <w:t>Key communication messages</w:t>
      </w:r>
    </w:p>
    <w:tbl>
      <w:tblPr>
        <w:tblStyle w:val="TableGrid"/>
        <w:tblW w:w="0" w:type="auto"/>
        <w:shd w:val="clear" w:color="auto" w:fill="F2F2F2" w:themeFill="background1" w:themeFillShade="F2"/>
        <w:tblLook w:val="04A0" w:firstRow="1" w:lastRow="0" w:firstColumn="1" w:lastColumn="0" w:noHBand="0" w:noVBand="1"/>
      </w:tblPr>
      <w:tblGrid>
        <w:gridCol w:w="6841"/>
      </w:tblGrid>
      <w:tr w:rsidR="004C4D76" w:rsidRPr="004C4D76" w14:paraId="1A910EFC" w14:textId="77777777" w:rsidTr="001E7F45">
        <w:tc>
          <w:tcPr>
            <w:tcW w:w="6841" w:type="dxa"/>
            <w:shd w:val="clear" w:color="auto" w:fill="F2F2F2" w:themeFill="background1" w:themeFillShade="F2"/>
          </w:tcPr>
          <w:p w14:paraId="1A910EF9" w14:textId="77777777" w:rsidR="004C4D76" w:rsidRPr="004C4D76" w:rsidRDefault="004C4D76" w:rsidP="004C4D76">
            <w:pPr>
              <w:spacing w:after="200" w:line="276" w:lineRule="auto"/>
            </w:pPr>
            <w:r w:rsidRPr="004C4D76">
              <w:t xml:space="preserve">If you are worried about your weight or think you might be </w:t>
            </w:r>
            <w:proofErr w:type="gramStart"/>
            <w:r w:rsidRPr="004C4D76">
              <w:t>overweight</w:t>
            </w:r>
            <w:proofErr w:type="gramEnd"/>
            <w:r w:rsidRPr="004C4D76">
              <w:t xml:space="preserve"> there is lots of help available. </w:t>
            </w:r>
          </w:p>
          <w:p w14:paraId="1A910EFA" w14:textId="77777777" w:rsidR="004C4D76" w:rsidRPr="004C4D76" w:rsidRDefault="004C4D76" w:rsidP="004C4D76">
            <w:pPr>
              <w:spacing w:after="200" w:line="276" w:lineRule="auto"/>
            </w:pPr>
            <w:r w:rsidRPr="004C4D76">
              <w:t xml:space="preserve">The national One You </w:t>
            </w:r>
            <w:hyperlink r:id="rId52" w:history="1">
              <w:r w:rsidRPr="004C4D76">
                <w:rPr>
                  <w:rStyle w:val="Hyperlink"/>
                </w:rPr>
                <w:t>website</w:t>
              </w:r>
            </w:hyperlink>
            <w:r w:rsidRPr="004C4D76">
              <w:t xml:space="preserve"> has ways to watch your weight, stay active and cook healthier meals even on a budget. </w:t>
            </w:r>
          </w:p>
          <w:p w14:paraId="1A910EFB" w14:textId="77777777" w:rsidR="004C4D76" w:rsidRPr="004C4D76" w:rsidRDefault="004C4D76" w:rsidP="004C4D76">
            <w:pPr>
              <w:spacing w:after="200" w:line="276" w:lineRule="auto"/>
            </w:pPr>
            <w:r w:rsidRPr="004C4D76">
              <w:t xml:space="preserve">Please go to </w:t>
            </w:r>
            <w:hyperlink r:id="rId53" w:history="1">
              <w:r w:rsidRPr="004C4D76">
                <w:rPr>
                  <w:rStyle w:val="Hyperlink"/>
                </w:rPr>
                <w:t>https://www.shapeupherts.com/do-i-qualify</w:t>
              </w:r>
            </w:hyperlink>
            <w:r w:rsidRPr="004C4D76">
              <w:t xml:space="preserve"> to make an enquiry about the local free weight management services.</w:t>
            </w:r>
          </w:p>
        </w:tc>
      </w:tr>
    </w:tbl>
    <w:p w14:paraId="1A910EFD" w14:textId="77777777" w:rsidR="00FB7A51" w:rsidRDefault="00FB7A51" w:rsidP="004C4D76"/>
    <w:p w14:paraId="1A910EFE" w14:textId="77777777" w:rsidR="004C4D76" w:rsidRPr="004C4D76" w:rsidRDefault="00FB7A51" w:rsidP="00FB7A51">
      <w:pPr>
        <w:pStyle w:val="Heading2"/>
      </w:pPr>
      <w:r>
        <w:t>Impact on Keeping</w:t>
      </w:r>
      <w:r w:rsidR="004C4D76" w:rsidRPr="004C4D76">
        <w:t xml:space="preserve"> Active</w:t>
      </w:r>
    </w:p>
    <w:p w14:paraId="1A910EFF" w14:textId="77777777" w:rsidR="004C4D76" w:rsidRPr="004C4D76" w:rsidRDefault="004C4D76" w:rsidP="004C4D76">
      <w:r w:rsidRPr="004C4D76">
        <w:t>Physical inactivity is a leading risk factor for mortality. People who keep a physically active lifestyle are at reduced risk of many conditions such as cardiovascular disease, stroke, diabetes and obesity. Regular physical activity also improves mental health.</w:t>
      </w:r>
      <w:r w:rsidRPr="004C4D76">
        <w:rPr>
          <w:vertAlign w:val="superscript"/>
        </w:rPr>
        <w:endnoteReference w:id="57"/>
      </w:r>
      <w:r w:rsidRPr="004C4D76">
        <w:t xml:space="preserve"> The Chief Medical Officer recommends 150 minutes of moderate intensity activity (e.g. brisk walking, cycling), or 75 minutes of vigorous activity (e.g. running) per week for adults. Children and young people over 5 are recommended to engage in 60 minutes of moderate to vigorous physical activity per day.</w:t>
      </w:r>
      <w:r w:rsidRPr="004C4D76">
        <w:rPr>
          <w:vertAlign w:val="superscript"/>
        </w:rPr>
        <w:endnoteReference w:id="58"/>
      </w:r>
    </w:p>
    <w:p w14:paraId="1A910F00" w14:textId="77777777" w:rsidR="004C4D76" w:rsidRPr="004C4D76" w:rsidRDefault="004C4D76" w:rsidP="004C4D76">
      <w:r w:rsidRPr="004C4D76">
        <w:t>Data from the Active Lives Survey show that 64.5% of adults in Harrow met the recommended physical activity guidelines in 2018/19. This is lower than rates in London (66.6%) and England (67.2%).</w:t>
      </w:r>
      <w:r w:rsidRPr="004C4D76">
        <w:rPr>
          <w:vertAlign w:val="superscript"/>
        </w:rPr>
        <w:endnoteReference w:id="59"/>
      </w:r>
    </w:p>
    <w:p w14:paraId="1A910F01" w14:textId="77777777" w:rsidR="004C4D76" w:rsidRPr="004C4D76" w:rsidRDefault="004C4D76" w:rsidP="00FB7A51">
      <w:pPr>
        <w:pStyle w:val="Heading3"/>
      </w:pPr>
      <w:r w:rsidRPr="004C4D76">
        <w:t>Impact of COVID-19</w:t>
      </w:r>
    </w:p>
    <w:p w14:paraId="1A910F02" w14:textId="77777777" w:rsidR="004C4D76" w:rsidRPr="004C4D76" w:rsidRDefault="004C4D76" w:rsidP="004C4D76">
      <w:r w:rsidRPr="004C4D76">
        <w:t xml:space="preserve">Social distancing and lockdown have had a positive impact on the attitude of people towards physical activity. Nearly two-thirds of adults in England (62%) think that being active is more important during the COVID-19 crisis, and 65% believe that exercise is helping with their mental health. One positive impact of COVID-19 is that exercise during lockdown became framed as an opportunity rather </w:t>
      </w:r>
      <w:r w:rsidRPr="004C4D76">
        <w:lastRenderedPageBreak/>
        <w:t xml:space="preserve">a chore. </w:t>
      </w:r>
      <w:proofErr w:type="gramStart"/>
      <w:r w:rsidRPr="004C4D76">
        <w:t>However</w:t>
      </w:r>
      <w:proofErr w:type="gramEnd"/>
      <w:r w:rsidRPr="004C4D76">
        <w:t xml:space="preserve"> some people are finding it harder to stay active during the crisis, such as older people, those in low income and those in urban areas.</w:t>
      </w:r>
      <w:r w:rsidRPr="004C4D76">
        <w:rPr>
          <w:vertAlign w:val="superscript"/>
        </w:rPr>
        <w:endnoteReference w:id="60"/>
      </w:r>
    </w:p>
    <w:p w14:paraId="1A910F03" w14:textId="77777777" w:rsidR="004C4D76" w:rsidRPr="004C4D76" w:rsidRDefault="00FB7A51" w:rsidP="00FB7A51">
      <w:pPr>
        <w:pStyle w:val="Heading3"/>
      </w:pPr>
      <w:r>
        <w:t>Getting Help to get active and stay active</w:t>
      </w:r>
    </w:p>
    <w:p w14:paraId="1A910F04" w14:textId="77777777" w:rsidR="004C4D76" w:rsidRPr="004C4D76" w:rsidRDefault="004C4D76" w:rsidP="004C4D76">
      <w:r w:rsidRPr="004C4D76">
        <w:t xml:space="preserve">Staying active is recommended to keep healthy. There are lots of free opportunities for everyone to stay active in </w:t>
      </w:r>
      <w:proofErr w:type="spellStart"/>
      <w:r w:rsidRPr="004C4D76">
        <w:t>Harrowsparks</w:t>
      </w:r>
      <w:proofErr w:type="spellEnd"/>
      <w:r w:rsidRPr="004C4D76">
        <w:t xml:space="preserve">, such as going for a walk or a run. Many tennis courts and golf courses are now open again in Harrow. </w:t>
      </w:r>
    </w:p>
    <w:p w14:paraId="1A910F05" w14:textId="77777777" w:rsidR="004C4D76" w:rsidRPr="004C4D76" w:rsidRDefault="004C4D76" w:rsidP="004C4D76">
      <w:r w:rsidRPr="004C4D76">
        <w:t xml:space="preserve">The Walking for Health scheme is not operating </w:t>
      </w:r>
      <w:proofErr w:type="gramStart"/>
      <w:r w:rsidRPr="004C4D76">
        <w:t>at the moment</w:t>
      </w:r>
      <w:proofErr w:type="gramEnd"/>
      <w:r w:rsidRPr="004C4D76">
        <w:t xml:space="preserve"> in Harrow. </w:t>
      </w:r>
    </w:p>
    <w:p w14:paraId="1A910F06" w14:textId="77777777" w:rsidR="004C4D76" w:rsidRPr="004C4D76" w:rsidRDefault="004C4D76" w:rsidP="00FB7A51">
      <w:pPr>
        <w:pStyle w:val="Heading3"/>
      </w:pPr>
      <w:r w:rsidRPr="004C4D76">
        <w:t>Key communication messages</w:t>
      </w:r>
    </w:p>
    <w:tbl>
      <w:tblPr>
        <w:tblStyle w:val="TableGrid"/>
        <w:tblW w:w="0" w:type="auto"/>
        <w:shd w:val="clear" w:color="auto" w:fill="F2F2F2" w:themeFill="background1" w:themeFillShade="F2"/>
        <w:tblLook w:val="04A0" w:firstRow="1" w:lastRow="0" w:firstColumn="1" w:lastColumn="0" w:noHBand="0" w:noVBand="1"/>
      </w:tblPr>
      <w:tblGrid>
        <w:gridCol w:w="6841"/>
      </w:tblGrid>
      <w:tr w:rsidR="004C4D76" w:rsidRPr="004C4D76" w14:paraId="1A910F09" w14:textId="77777777" w:rsidTr="001E7F45">
        <w:tc>
          <w:tcPr>
            <w:tcW w:w="6841" w:type="dxa"/>
            <w:shd w:val="clear" w:color="auto" w:fill="F2F2F2" w:themeFill="background1" w:themeFillShade="F2"/>
          </w:tcPr>
          <w:p w14:paraId="1A910F07" w14:textId="77777777" w:rsidR="004C4D76" w:rsidRPr="004C4D76" w:rsidRDefault="004C4D76" w:rsidP="004C4D76">
            <w:pPr>
              <w:spacing w:after="200" w:line="276" w:lineRule="auto"/>
            </w:pPr>
            <w:r w:rsidRPr="004C4D76">
              <w:t>‘Being active- Make it a daily habit’ or after lockdown ‘Keep the daily exercise habit’.</w:t>
            </w:r>
          </w:p>
          <w:p w14:paraId="1A910F08" w14:textId="77777777" w:rsidR="004C4D76" w:rsidRPr="004C4D76" w:rsidRDefault="004C4D76" w:rsidP="004C4D76">
            <w:pPr>
              <w:spacing w:after="200" w:line="276" w:lineRule="auto"/>
              <w:rPr>
                <w:i/>
              </w:rPr>
            </w:pPr>
            <w:r w:rsidRPr="004C4D76">
              <w:t>Staying active everyday will make you feel good and boost your immune system.</w:t>
            </w:r>
          </w:p>
        </w:tc>
      </w:tr>
      <w:tr w:rsidR="004C4D76" w:rsidRPr="004C4D76" w14:paraId="1A910F0C" w14:textId="77777777" w:rsidTr="001E7F45">
        <w:tc>
          <w:tcPr>
            <w:tcW w:w="6841" w:type="dxa"/>
            <w:shd w:val="clear" w:color="auto" w:fill="F2F2F2" w:themeFill="background1" w:themeFillShade="F2"/>
          </w:tcPr>
          <w:p w14:paraId="1A910F0A" w14:textId="77777777" w:rsidR="004C4D76" w:rsidRPr="004C4D76" w:rsidRDefault="004C4D76" w:rsidP="004C4D76">
            <w:pPr>
              <w:spacing w:after="200" w:line="276" w:lineRule="auto"/>
            </w:pPr>
            <w:r w:rsidRPr="004C4D76">
              <w:t xml:space="preserve">Children should be active for at least an hour a day and adults are recommended to do 20-30 minutes of exercise every day. </w:t>
            </w:r>
            <w:proofErr w:type="gramStart"/>
            <w:r w:rsidRPr="004C4D76">
              <w:t>Walking counts,</w:t>
            </w:r>
            <w:proofErr w:type="gramEnd"/>
            <w:r w:rsidRPr="004C4D76">
              <w:t xml:space="preserve"> go for a short walk if you are not in self isolation. </w:t>
            </w:r>
          </w:p>
          <w:p w14:paraId="1A910F0B" w14:textId="77777777" w:rsidR="004C4D76" w:rsidRPr="004C4D76" w:rsidRDefault="004C4D76" w:rsidP="004C4D76">
            <w:pPr>
              <w:spacing w:after="200" w:line="276" w:lineRule="auto"/>
              <w:rPr>
                <w:i/>
              </w:rPr>
            </w:pPr>
            <w:r w:rsidRPr="004C4D76">
              <w:t>To support the health and wellbeing of children while they are at home, Daily Mile have launched the #</w:t>
            </w:r>
            <w:proofErr w:type="spellStart"/>
            <w:r w:rsidRPr="004C4D76">
              <w:t>DailyMileAtHome</w:t>
            </w:r>
            <w:proofErr w:type="spellEnd"/>
            <w:r w:rsidRPr="004C4D76">
              <w:t>. The aim is to encourage children to participate safely with their parents/carers in 15 minutes of jogging or running.</w:t>
            </w:r>
          </w:p>
        </w:tc>
      </w:tr>
      <w:tr w:rsidR="004C4D76" w:rsidRPr="004C4D76" w14:paraId="1A910F0F" w14:textId="77777777" w:rsidTr="001E7F45">
        <w:tc>
          <w:tcPr>
            <w:tcW w:w="6841" w:type="dxa"/>
            <w:shd w:val="clear" w:color="auto" w:fill="F2F2F2" w:themeFill="background1" w:themeFillShade="F2"/>
          </w:tcPr>
          <w:p w14:paraId="1A910F0D" w14:textId="77777777" w:rsidR="004C4D76" w:rsidRPr="004C4D76" w:rsidRDefault="004C4D76" w:rsidP="004C4D76">
            <w:pPr>
              <w:spacing w:after="200" w:line="276" w:lineRule="auto"/>
            </w:pPr>
            <w:r w:rsidRPr="004C4D76">
              <w:t xml:space="preserve">For older adults twice a week exercises such as yoga, weights (even lifting your shopping) or Tai Chi, will improve strength and balance. Try the online Tai Chi class provided by Zhijun Wang who is well known for Tai Chi he provides around Harrow. </w:t>
            </w:r>
          </w:p>
          <w:p w14:paraId="1A910F0E" w14:textId="77777777" w:rsidR="004C4D76" w:rsidRPr="004C4D76" w:rsidRDefault="00F00FD8" w:rsidP="004C4D76">
            <w:pPr>
              <w:spacing w:after="200" w:line="276" w:lineRule="auto"/>
            </w:pPr>
            <w:hyperlink r:id="rId54" w:history="1">
              <w:r w:rsidR="004C4D76" w:rsidRPr="004C4D76">
                <w:rPr>
                  <w:rStyle w:val="Hyperlink"/>
                </w:rPr>
                <w:t>https://www.harrow.gov.uk/events/event/10630/distancing-tai-chi-sessions-live-stream-via-fb-group</w:t>
              </w:r>
            </w:hyperlink>
          </w:p>
        </w:tc>
      </w:tr>
    </w:tbl>
    <w:p w14:paraId="1A910F10" w14:textId="77777777" w:rsidR="004C4D76" w:rsidRPr="004C4D76" w:rsidRDefault="004C4D76" w:rsidP="004C4D76"/>
    <w:p w14:paraId="1A910F11" w14:textId="77777777" w:rsidR="004C4D76" w:rsidRPr="004C4D76" w:rsidRDefault="004C4D76" w:rsidP="00FB7A51">
      <w:pPr>
        <w:pStyle w:val="Heading2"/>
      </w:pPr>
      <w:r w:rsidRPr="004C4D76">
        <w:t>Alcohol</w:t>
      </w:r>
    </w:p>
    <w:p w14:paraId="1A910F12" w14:textId="77777777" w:rsidR="004C4D76" w:rsidRPr="004C4D76" w:rsidRDefault="004C4D76" w:rsidP="004C4D76">
      <w:r w:rsidRPr="004C4D76">
        <w:t>Alcohol misuse involves harmful (high-risk) drinking and alcohol dependence. Short-term risks from alcohol misuse include accidents and injuries, reckless or violent behaviour and alcohol poisoning. Long-term health risks include high blood pressure, liver disease, stroke, depression, dementia and some cancers. It is also associated with social problems, such as increased criminal activity, domestic abuse, unemployment and homelessness.</w:t>
      </w:r>
      <w:r w:rsidRPr="004C4D76">
        <w:rPr>
          <w:vertAlign w:val="superscript"/>
        </w:rPr>
        <w:endnoteReference w:id="61"/>
      </w:r>
      <w:r w:rsidRPr="004C4D76">
        <w:t xml:space="preserve"> </w:t>
      </w:r>
      <w:r w:rsidRPr="004C4D76">
        <w:rPr>
          <w:vertAlign w:val="superscript"/>
        </w:rPr>
        <w:endnoteReference w:id="62"/>
      </w:r>
      <w:r w:rsidRPr="004C4D76">
        <w:t xml:space="preserve"> Alcohol misuse is the biggest risk factor for early death, ill health and disability among 15-49 years olds in England, and the fifth most important risk factor across all ages. People in lower socioeconomic groups are at greater risk of alcohol related harm, and almost half of all alcohol-related hospital admissions occur in the lowest three socioeconomic groups. </w:t>
      </w:r>
      <w:r w:rsidRPr="004C4D76">
        <w:rPr>
          <w:vertAlign w:val="superscript"/>
        </w:rPr>
        <w:endnoteReference w:id="63"/>
      </w:r>
    </w:p>
    <w:p w14:paraId="1A910F13" w14:textId="77777777" w:rsidR="00FB7A51" w:rsidRDefault="004C4D76">
      <w:r w:rsidRPr="004C4D76">
        <w:t xml:space="preserve">Harrow has higher rates for admission episodes for alcohol-related conditions compared to local and national average; </w:t>
      </w:r>
      <w:proofErr w:type="gramStart"/>
      <w:r w:rsidRPr="004C4D76">
        <w:t>however</w:t>
      </w:r>
      <w:proofErr w:type="gramEnd"/>
      <w:r w:rsidRPr="004C4D76">
        <w:t xml:space="preserve"> rates of alcohol-related deaths are lower than average.</w:t>
      </w:r>
      <w:r w:rsidRPr="004C4D76">
        <w:rPr>
          <w:vertAlign w:val="superscript"/>
        </w:rPr>
        <w:endnoteReference w:id="6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992"/>
        <w:gridCol w:w="992"/>
        <w:gridCol w:w="1063"/>
      </w:tblGrid>
      <w:tr w:rsidR="004C4D76" w:rsidRPr="004C4D76" w14:paraId="1A910F18" w14:textId="77777777" w:rsidTr="00FB7A51">
        <w:trPr>
          <w:cantSplit/>
        </w:trPr>
        <w:tc>
          <w:tcPr>
            <w:tcW w:w="3794" w:type="dxa"/>
            <w:tcBorders>
              <w:bottom w:val="single" w:sz="4" w:space="0" w:color="auto"/>
              <w:right w:val="single" w:sz="4" w:space="0" w:color="auto"/>
            </w:tcBorders>
          </w:tcPr>
          <w:p w14:paraId="1A910F14" w14:textId="77777777" w:rsidR="004C4D76" w:rsidRPr="004C4D76" w:rsidRDefault="004C4D76" w:rsidP="004C4D76">
            <w:pPr>
              <w:spacing w:after="200" w:line="276" w:lineRule="auto"/>
            </w:pPr>
          </w:p>
        </w:tc>
        <w:tc>
          <w:tcPr>
            <w:tcW w:w="992" w:type="dxa"/>
            <w:tcBorders>
              <w:left w:val="single" w:sz="4" w:space="0" w:color="auto"/>
              <w:bottom w:val="single" w:sz="4" w:space="0" w:color="auto"/>
              <w:right w:val="single" w:sz="4" w:space="0" w:color="auto"/>
            </w:tcBorders>
          </w:tcPr>
          <w:p w14:paraId="1A910F15" w14:textId="77777777" w:rsidR="004C4D76" w:rsidRPr="004C4D76" w:rsidRDefault="004C4D76" w:rsidP="004C4D76">
            <w:pPr>
              <w:spacing w:after="200" w:line="276" w:lineRule="auto"/>
            </w:pPr>
            <w:r w:rsidRPr="004C4D76">
              <w:t>Harrow</w:t>
            </w:r>
          </w:p>
        </w:tc>
        <w:tc>
          <w:tcPr>
            <w:tcW w:w="992" w:type="dxa"/>
            <w:tcBorders>
              <w:left w:val="single" w:sz="4" w:space="0" w:color="auto"/>
              <w:bottom w:val="single" w:sz="4" w:space="0" w:color="auto"/>
              <w:right w:val="single" w:sz="4" w:space="0" w:color="auto"/>
            </w:tcBorders>
          </w:tcPr>
          <w:p w14:paraId="1A910F16" w14:textId="77777777" w:rsidR="004C4D76" w:rsidRPr="004C4D76" w:rsidRDefault="004C4D76" w:rsidP="004C4D76">
            <w:pPr>
              <w:spacing w:after="200" w:line="276" w:lineRule="auto"/>
            </w:pPr>
            <w:r w:rsidRPr="004C4D76">
              <w:t>London</w:t>
            </w:r>
          </w:p>
        </w:tc>
        <w:tc>
          <w:tcPr>
            <w:tcW w:w="1063" w:type="dxa"/>
            <w:tcBorders>
              <w:left w:val="single" w:sz="4" w:space="0" w:color="auto"/>
              <w:bottom w:val="single" w:sz="4" w:space="0" w:color="auto"/>
            </w:tcBorders>
          </w:tcPr>
          <w:p w14:paraId="1A910F17" w14:textId="77777777" w:rsidR="004C4D76" w:rsidRPr="004C4D76" w:rsidRDefault="004C4D76" w:rsidP="004C4D76">
            <w:pPr>
              <w:spacing w:after="200" w:line="276" w:lineRule="auto"/>
            </w:pPr>
            <w:r w:rsidRPr="004C4D76">
              <w:t>England</w:t>
            </w:r>
          </w:p>
        </w:tc>
      </w:tr>
      <w:tr w:rsidR="004C4D76" w:rsidRPr="004C4D76" w14:paraId="1A910F1D" w14:textId="77777777" w:rsidTr="00FB7A51">
        <w:trPr>
          <w:cantSplit/>
        </w:trPr>
        <w:tc>
          <w:tcPr>
            <w:tcW w:w="3794" w:type="dxa"/>
            <w:tcBorders>
              <w:top w:val="single" w:sz="4" w:space="0" w:color="auto"/>
              <w:bottom w:val="single" w:sz="4" w:space="0" w:color="auto"/>
              <w:right w:val="single" w:sz="4" w:space="0" w:color="auto"/>
            </w:tcBorders>
          </w:tcPr>
          <w:p w14:paraId="1A910F19" w14:textId="77777777" w:rsidR="004C4D76" w:rsidRPr="004C4D76" w:rsidRDefault="004C4D76" w:rsidP="004C4D76">
            <w:pPr>
              <w:spacing w:after="200" w:line="276" w:lineRule="auto"/>
            </w:pPr>
            <w:r w:rsidRPr="004C4D76">
              <w:t>Admission episodes for alcohol-related conditions (Broad)</w:t>
            </w:r>
            <w:r w:rsidRPr="004C4D76">
              <w:rPr>
                <w:vertAlign w:val="superscript"/>
              </w:rPr>
              <w:t>*</w:t>
            </w:r>
            <w:r w:rsidRPr="004C4D76">
              <w:t xml:space="preserve"> per 100,000 (2018/19)</w:t>
            </w:r>
          </w:p>
        </w:tc>
        <w:tc>
          <w:tcPr>
            <w:tcW w:w="992" w:type="dxa"/>
            <w:tcBorders>
              <w:top w:val="single" w:sz="4" w:space="0" w:color="auto"/>
              <w:left w:val="single" w:sz="4" w:space="0" w:color="auto"/>
              <w:bottom w:val="single" w:sz="4" w:space="0" w:color="auto"/>
              <w:right w:val="single" w:sz="4" w:space="0" w:color="auto"/>
            </w:tcBorders>
            <w:vAlign w:val="center"/>
          </w:tcPr>
          <w:p w14:paraId="1A910F1A" w14:textId="77777777" w:rsidR="004C4D76" w:rsidRPr="004C4D76" w:rsidRDefault="004C4D76" w:rsidP="004C4D76">
            <w:pPr>
              <w:spacing w:after="200" w:line="276" w:lineRule="auto"/>
            </w:pPr>
            <w:r w:rsidRPr="004C4D76">
              <w:t>2,729</w:t>
            </w:r>
          </w:p>
        </w:tc>
        <w:tc>
          <w:tcPr>
            <w:tcW w:w="992" w:type="dxa"/>
            <w:tcBorders>
              <w:top w:val="single" w:sz="4" w:space="0" w:color="auto"/>
              <w:left w:val="single" w:sz="4" w:space="0" w:color="auto"/>
              <w:bottom w:val="single" w:sz="4" w:space="0" w:color="auto"/>
              <w:right w:val="single" w:sz="4" w:space="0" w:color="auto"/>
            </w:tcBorders>
            <w:vAlign w:val="center"/>
          </w:tcPr>
          <w:p w14:paraId="1A910F1B" w14:textId="77777777" w:rsidR="004C4D76" w:rsidRPr="004C4D76" w:rsidRDefault="004C4D76" w:rsidP="004C4D76">
            <w:pPr>
              <w:spacing w:after="200" w:line="276" w:lineRule="auto"/>
            </w:pPr>
            <w:r w:rsidRPr="004C4D76">
              <w:t>2,500</w:t>
            </w:r>
          </w:p>
        </w:tc>
        <w:tc>
          <w:tcPr>
            <w:tcW w:w="1063" w:type="dxa"/>
            <w:tcBorders>
              <w:top w:val="single" w:sz="4" w:space="0" w:color="auto"/>
              <w:left w:val="single" w:sz="4" w:space="0" w:color="auto"/>
              <w:bottom w:val="single" w:sz="4" w:space="0" w:color="auto"/>
            </w:tcBorders>
            <w:vAlign w:val="center"/>
          </w:tcPr>
          <w:p w14:paraId="1A910F1C" w14:textId="77777777" w:rsidR="004C4D76" w:rsidRPr="004C4D76" w:rsidRDefault="004C4D76" w:rsidP="004C4D76">
            <w:pPr>
              <w:spacing w:after="200" w:line="276" w:lineRule="auto"/>
            </w:pPr>
            <w:r w:rsidRPr="004C4D76">
              <w:t>2,367</w:t>
            </w:r>
          </w:p>
        </w:tc>
      </w:tr>
      <w:tr w:rsidR="004C4D76" w:rsidRPr="004C4D76" w14:paraId="1A910F22" w14:textId="77777777" w:rsidTr="00FB7A51">
        <w:trPr>
          <w:cantSplit/>
        </w:trPr>
        <w:tc>
          <w:tcPr>
            <w:tcW w:w="3794" w:type="dxa"/>
            <w:tcBorders>
              <w:top w:val="single" w:sz="4" w:space="0" w:color="auto"/>
              <w:right w:val="single" w:sz="4" w:space="0" w:color="auto"/>
            </w:tcBorders>
          </w:tcPr>
          <w:p w14:paraId="1A910F1E" w14:textId="77777777" w:rsidR="004C4D76" w:rsidRPr="004C4D76" w:rsidRDefault="004C4D76" w:rsidP="004C4D76">
            <w:pPr>
              <w:spacing w:after="200" w:line="276" w:lineRule="auto"/>
            </w:pPr>
            <w:r w:rsidRPr="004C4D76">
              <w:t>Alcohol-related mortality per 100,000 (2018)</w:t>
            </w:r>
          </w:p>
        </w:tc>
        <w:tc>
          <w:tcPr>
            <w:tcW w:w="992" w:type="dxa"/>
            <w:tcBorders>
              <w:top w:val="single" w:sz="4" w:space="0" w:color="auto"/>
              <w:left w:val="single" w:sz="4" w:space="0" w:color="auto"/>
              <w:right w:val="single" w:sz="4" w:space="0" w:color="auto"/>
            </w:tcBorders>
            <w:vAlign w:val="center"/>
          </w:tcPr>
          <w:p w14:paraId="1A910F1F" w14:textId="77777777" w:rsidR="004C4D76" w:rsidRPr="004C4D76" w:rsidRDefault="004C4D76" w:rsidP="004C4D76">
            <w:pPr>
              <w:spacing w:after="200" w:line="276" w:lineRule="auto"/>
            </w:pPr>
            <w:r w:rsidRPr="004C4D76">
              <w:t>26.9</w:t>
            </w:r>
          </w:p>
        </w:tc>
        <w:tc>
          <w:tcPr>
            <w:tcW w:w="992" w:type="dxa"/>
            <w:tcBorders>
              <w:top w:val="single" w:sz="4" w:space="0" w:color="auto"/>
              <w:left w:val="single" w:sz="4" w:space="0" w:color="auto"/>
              <w:right w:val="single" w:sz="4" w:space="0" w:color="auto"/>
            </w:tcBorders>
            <w:vAlign w:val="center"/>
          </w:tcPr>
          <w:p w14:paraId="1A910F20" w14:textId="77777777" w:rsidR="004C4D76" w:rsidRPr="004C4D76" w:rsidRDefault="004C4D76" w:rsidP="004C4D76">
            <w:pPr>
              <w:spacing w:after="200" w:line="276" w:lineRule="auto"/>
            </w:pPr>
            <w:r w:rsidRPr="004C4D76">
              <w:t>39.4</w:t>
            </w:r>
          </w:p>
        </w:tc>
        <w:tc>
          <w:tcPr>
            <w:tcW w:w="1063" w:type="dxa"/>
            <w:tcBorders>
              <w:top w:val="single" w:sz="4" w:space="0" w:color="auto"/>
              <w:left w:val="single" w:sz="4" w:space="0" w:color="auto"/>
            </w:tcBorders>
            <w:vAlign w:val="center"/>
          </w:tcPr>
          <w:p w14:paraId="1A910F21" w14:textId="77777777" w:rsidR="004C4D76" w:rsidRPr="004C4D76" w:rsidRDefault="004C4D76" w:rsidP="004C4D76">
            <w:pPr>
              <w:spacing w:after="200" w:line="276" w:lineRule="auto"/>
            </w:pPr>
            <w:r w:rsidRPr="004C4D76">
              <w:t>46.5</w:t>
            </w:r>
          </w:p>
        </w:tc>
      </w:tr>
    </w:tbl>
    <w:p w14:paraId="1A910F23" w14:textId="77777777" w:rsidR="004C4D76" w:rsidRPr="004C4D76" w:rsidRDefault="004C4D76" w:rsidP="004C4D76">
      <w:pPr>
        <w:rPr>
          <w:b/>
        </w:rPr>
      </w:pPr>
      <w:r w:rsidRPr="004C4D76">
        <w:rPr>
          <w:b/>
        </w:rPr>
        <w:t>*Admissions to hospital where the primary diagnosis or any of the secondary diagnoses are an alcohol-attributable code</w:t>
      </w:r>
    </w:p>
    <w:p w14:paraId="1A910F24" w14:textId="77777777" w:rsidR="004C4D76" w:rsidRPr="004C4D76" w:rsidRDefault="004C4D76" w:rsidP="00FB7A51">
      <w:pPr>
        <w:pStyle w:val="Heading3"/>
      </w:pPr>
      <w:r w:rsidRPr="004C4D76">
        <w:t>Impact of COVID-19</w:t>
      </w:r>
    </w:p>
    <w:p w14:paraId="1A910F25" w14:textId="77777777" w:rsidR="004C4D76" w:rsidRPr="004C4D76" w:rsidRDefault="004C4D76" w:rsidP="004C4D76">
      <w:r w:rsidRPr="004C4D76">
        <w:t>Lockdown has had positive and negative impacts on peoples drinking habits. A survey of the UK public by King’s College London in April 2020 reported that 19% of people were drinking more alcohol than normal.</w:t>
      </w:r>
      <w:r w:rsidRPr="004C4D76">
        <w:rPr>
          <w:vertAlign w:val="superscript"/>
        </w:rPr>
        <w:endnoteReference w:id="65"/>
      </w:r>
      <w:r w:rsidRPr="004C4D76">
        <w:t xml:space="preserve"> This is similar to the findings from the charity Alcohol Change UK in April, which found that 21% of adults in the UK who drink alcohol are drinking more often since lockdown began. However, more than one in three of those who drink (35%) reported reducing or stopped drinking, and 6% have stopped drinking entirely.</w:t>
      </w:r>
      <w:r w:rsidRPr="004C4D76">
        <w:rPr>
          <w:vertAlign w:val="superscript"/>
        </w:rPr>
        <w:endnoteReference w:id="66"/>
      </w:r>
    </w:p>
    <w:p w14:paraId="1A910F26" w14:textId="77777777" w:rsidR="004C4D76" w:rsidRPr="004C4D76" w:rsidRDefault="00FB7A51" w:rsidP="00FB7A51">
      <w:pPr>
        <w:pStyle w:val="Heading3"/>
      </w:pPr>
      <w:r>
        <w:t xml:space="preserve">Getting Help on </w:t>
      </w:r>
      <w:r w:rsidR="00852CC1">
        <w:t>harmful drinking</w:t>
      </w:r>
    </w:p>
    <w:p w14:paraId="1A910F27" w14:textId="77777777" w:rsidR="004C4D76" w:rsidRPr="004C4D76" w:rsidRDefault="004C4D76" w:rsidP="004C4D76">
      <w:r w:rsidRPr="004C4D76">
        <w:t>The adult substance misuse service in Harrow is delivery by WDP. Compass Harrow provides substance misuse services for children and young people. Both services are adapting the usual face-to-face support to telephone/remote where possible.</w:t>
      </w:r>
    </w:p>
    <w:p w14:paraId="1A910F28" w14:textId="77777777" w:rsidR="004C4D76" w:rsidRPr="004C4D76" w:rsidRDefault="004C4D76" w:rsidP="00852CC1">
      <w:pPr>
        <w:pStyle w:val="Heading3"/>
      </w:pPr>
      <w:r w:rsidRPr="004C4D76">
        <w:t>Key communication messages</w:t>
      </w:r>
    </w:p>
    <w:tbl>
      <w:tblPr>
        <w:tblStyle w:val="TableGrid"/>
        <w:tblW w:w="0" w:type="auto"/>
        <w:shd w:val="clear" w:color="auto" w:fill="F2F2F2" w:themeFill="background1" w:themeFillShade="F2"/>
        <w:tblLook w:val="04A0" w:firstRow="1" w:lastRow="0" w:firstColumn="1" w:lastColumn="0" w:noHBand="0" w:noVBand="1"/>
      </w:tblPr>
      <w:tblGrid>
        <w:gridCol w:w="6841"/>
      </w:tblGrid>
      <w:tr w:rsidR="004C4D76" w:rsidRPr="004C4D76" w14:paraId="1A910F2A" w14:textId="77777777" w:rsidTr="001E7F45">
        <w:tc>
          <w:tcPr>
            <w:tcW w:w="6841" w:type="dxa"/>
            <w:shd w:val="clear" w:color="auto" w:fill="F2F2F2" w:themeFill="background1" w:themeFillShade="F2"/>
          </w:tcPr>
          <w:p w14:paraId="1A910F29" w14:textId="77777777" w:rsidR="004C4D76" w:rsidRPr="004C4D76" w:rsidRDefault="004C4D76" w:rsidP="004C4D76">
            <w:pPr>
              <w:spacing w:after="200" w:line="276" w:lineRule="auto"/>
            </w:pPr>
            <w:r w:rsidRPr="004C4D76">
              <w:t>To keep health risks from alcohol to a low level it is safest not to drink more than 14 units a week on a regular basis.</w:t>
            </w:r>
          </w:p>
        </w:tc>
      </w:tr>
      <w:tr w:rsidR="004C4D76" w:rsidRPr="004C4D76" w14:paraId="1A910F2C" w14:textId="77777777" w:rsidTr="001E7F45">
        <w:tc>
          <w:tcPr>
            <w:tcW w:w="6841" w:type="dxa"/>
            <w:shd w:val="clear" w:color="auto" w:fill="F2F2F2" w:themeFill="background1" w:themeFillShade="F2"/>
          </w:tcPr>
          <w:p w14:paraId="1A910F2B" w14:textId="77777777" w:rsidR="004C4D76" w:rsidRPr="004C4D76" w:rsidRDefault="004C4D76" w:rsidP="004C4D76">
            <w:pPr>
              <w:spacing w:after="200" w:line="276" w:lineRule="auto"/>
            </w:pPr>
            <w:r w:rsidRPr="004C4D76">
              <w:t xml:space="preserve">If you regularly drink as much as 14 units per week, it is best to spread your drinking evenly over 3 or more days. If you have one or two heavy drinking episodes a week, you increase your risks of death from long term illness and from accidents and injuries. </w:t>
            </w:r>
          </w:p>
        </w:tc>
      </w:tr>
      <w:tr w:rsidR="004C4D76" w:rsidRPr="004C4D76" w14:paraId="1A910F2E" w14:textId="77777777" w:rsidTr="001E7F45">
        <w:tc>
          <w:tcPr>
            <w:tcW w:w="6841" w:type="dxa"/>
            <w:shd w:val="clear" w:color="auto" w:fill="F2F2F2" w:themeFill="background1" w:themeFillShade="F2"/>
          </w:tcPr>
          <w:p w14:paraId="1A910F2D" w14:textId="77777777" w:rsidR="004C4D76" w:rsidRPr="004C4D76" w:rsidRDefault="004C4D76" w:rsidP="004C4D76">
            <w:pPr>
              <w:spacing w:after="200" w:line="276" w:lineRule="auto"/>
            </w:pPr>
            <w:r w:rsidRPr="004C4D76">
              <w:t xml:space="preserve">The risk of developing a range of health problems (including cancers of the mouth, throat and breast) increases the more you drink on a regular basis. </w:t>
            </w:r>
          </w:p>
        </w:tc>
      </w:tr>
      <w:tr w:rsidR="004C4D76" w:rsidRPr="004C4D76" w14:paraId="1A910F30" w14:textId="77777777" w:rsidTr="001E7F45">
        <w:tc>
          <w:tcPr>
            <w:tcW w:w="6841" w:type="dxa"/>
            <w:shd w:val="clear" w:color="auto" w:fill="F2F2F2" w:themeFill="background1" w:themeFillShade="F2"/>
          </w:tcPr>
          <w:p w14:paraId="1A910F2F" w14:textId="77777777" w:rsidR="004C4D76" w:rsidRPr="004C4D76" w:rsidRDefault="004C4D76" w:rsidP="004C4D76">
            <w:pPr>
              <w:spacing w:after="200" w:line="276" w:lineRule="auto"/>
            </w:pPr>
            <w:r w:rsidRPr="004C4D76">
              <w:t>If you wish to cut down the amount you drink, a good way to help achieve this is to have several drink-free days each week.</w:t>
            </w:r>
          </w:p>
        </w:tc>
      </w:tr>
    </w:tbl>
    <w:p w14:paraId="1A910F31" w14:textId="77777777" w:rsidR="00852CC1" w:rsidRPr="001D1A21" w:rsidRDefault="004C4D76">
      <w:pPr>
        <w:rPr>
          <w:b/>
        </w:rPr>
      </w:pPr>
      <w:r w:rsidRPr="004C4D76">
        <w:rPr>
          <w:b/>
        </w:rPr>
        <w:t>Source: The Chief Medical Officers’ alcohol consumption guidelines</w:t>
      </w:r>
      <w:r w:rsidRPr="004C4D76">
        <w:rPr>
          <w:b/>
          <w:vertAlign w:val="superscript"/>
        </w:rPr>
        <w:endnoteReference w:id="67"/>
      </w:r>
      <w:r w:rsidRPr="004C4D76">
        <w:rPr>
          <w:b/>
        </w:rPr>
        <w:t xml:space="preserve"> </w:t>
      </w:r>
    </w:p>
    <w:p w14:paraId="1A910F32" w14:textId="77777777" w:rsidR="004C4D76" w:rsidRPr="004C4D76" w:rsidRDefault="00852CC1" w:rsidP="00852CC1">
      <w:pPr>
        <w:pStyle w:val="Heading2"/>
      </w:pPr>
      <w:r>
        <w:t xml:space="preserve">Impact on </w:t>
      </w:r>
      <w:r w:rsidR="004C4D76" w:rsidRPr="004C4D76">
        <w:t xml:space="preserve">Child Accident prevention </w:t>
      </w:r>
    </w:p>
    <w:p w14:paraId="1A910F33" w14:textId="77777777" w:rsidR="004C4D76" w:rsidRPr="004C4D76" w:rsidRDefault="004C4D76" w:rsidP="004C4D76">
      <w:r w:rsidRPr="004C4D76">
        <w:t xml:space="preserve">Accidents to children in and around the home are a significant health issue and they are a major cause of preventable death, ill health and serious disability. Children under five years are particularly vulnerable, with many potential risks at home. </w:t>
      </w:r>
    </w:p>
    <w:p w14:paraId="1A910F34" w14:textId="77777777" w:rsidR="004C4D76" w:rsidRPr="004C4D76" w:rsidRDefault="004C4D76" w:rsidP="004C4D76">
      <w:r w:rsidRPr="004C4D76">
        <w:t xml:space="preserve">Most accidents to children occur in the living/dining room, but the most serious are heat related and falls from a height, which happen in the kitchen and on the stairs. Older children are more likely to sustain fractures and younger children have a higher percentage of </w:t>
      </w:r>
      <w:r w:rsidRPr="004C4D76">
        <w:lastRenderedPageBreak/>
        <w:t>burns and scalds as well as poisoning and ingestion accidents.</w:t>
      </w:r>
      <w:r w:rsidRPr="004C4D76">
        <w:rPr>
          <w:vertAlign w:val="superscript"/>
        </w:rPr>
        <w:endnoteReference w:id="68"/>
      </w:r>
      <w:r w:rsidRPr="004C4D76">
        <w:t xml:space="preserve"> Most home accidents are therefore preventable through increased awareness, improvements in the home environment and greater product safety.</w:t>
      </w:r>
    </w:p>
    <w:p w14:paraId="1A910F35" w14:textId="77777777" w:rsidR="004C4D76" w:rsidRPr="004C4D76" w:rsidRDefault="004C4D76" w:rsidP="004C4D76">
      <w:r w:rsidRPr="004C4D76">
        <w:t xml:space="preserve">During 2018/19, there were 13,280 A&amp;E attendances for </w:t>
      </w:r>
      <w:proofErr w:type="gramStart"/>
      <w:r w:rsidRPr="004C4D76">
        <w:t>0-4 year</w:t>
      </w:r>
      <w:proofErr w:type="gramEnd"/>
      <w:r w:rsidRPr="004C4D76">
        <w:t xml:space="preserve"> olds, and 280 hospital admissions caused by injuries for 0-14 year olds in Harrow CCG.</w:t>
      </w:r>
      <w:r w:rsidRPr="004C4D76">
        <w:rPr>
          <w:vertAlign w:val="superscript"/>
        </w:rPr>
        <w:endnoteReference w:id="69"/>
      </w:r>
    </w:p>
    <w:p w14:paraId="1A910F36" w14:textId="77777777" w:rsidR="004C4D76" w:rsidRPr="004C4D76" w:rsidRDefault="004C4D76" w:rsidP="00852CC1">
      <w:pPr>
        <w:pStyle w:val="Heading3"/>
      </w:pPr>
      <w:r w:rsidRPr="004C4D76">
        <w:t>Impact of COVID-19</w:t>
      </w:r>
    </w:p>
    <w:p w14:paraId="1A910F37" w14:textId="77777777" w:rsidR="004C4D76" w:rsidRPr="004C4D76" w:rsidRDefault="004C4D76" w:rsidP="004C4D76">
      <w:r w:rsidRPr="004C4D76">
        <w:t>Families are likely to be more worried about the risk of serious accidents as children will be spending more time at home. This is especially relevant as 90% of accidents to children under five happen at home.</w:t>
      </w:r>
      <w:r w:rsidRPr="004C4D76">
        <w:rPr>
          <w:vertAlign w:val="superscript"/>
        </w:rPr>
        <w:endnoteReference w:id="70"/>
      </w:r>
      <w:r w:rsidRPr="004C4D76">
        <w:t xml:space="preserve">  A&amp;E departments are still continuing to see serious injuries, such as injuries from burns, baking, cycling, falls and poisoning/ingesting.</w:t>
      </w:r>
      <w:r w:rsidRPr="004C4D76">
        <w:rPr>
          <w:vertAlign w:val="superscript"/>
        </w:rPr>
        <w:endnoteReference w:id="71"/>
      </w:r>
      <w:r w:rsidRPr="004C4D76">
        <w:t xml:space="preserve"> There is also anecdotal evidence that some older siblings may be left to look after their younger brothers or sisters while the parents work from home.</w:t>
      </w:r>
    </w:p>
    <w:p w14:paraId="1A910F38" w14:textId="77777777" w:rsidR="004C4D76" w:rsidRPr="004C4D76" w:rsidRDefault="00852CC1" w:rsidP="00852CC1">
      <w:pPr>
        <w:pStyle w:val="Heading3"/>
      </w:pPr>
      <w:r>
        <w:t xml:space="preserve">Getting help on accident prevention </w:t>
      </w:r>
    </w:p>
    <w:p w14:paraId="1A910F39" w14:textId="77777777" w:rsidR="004C4D76" w:rsidRPr="004C4D76" w:rsidRDefault="004C4D76" w:rsidP="004C4D76">
      <w:r w:rsidRPr="004C4D76">
        <w:t xml:space="preserve">The Child Accident Prevention Trust have produced a series of lockdown safety tips for parents. </w:t>
      </w:r>
      <w:r w:rsidRPr="004C4D76">
        <w:br/>
      </w:r>
      <w:hyperlink r:id="rId55" w:history="1">
        <w:r w:rsidRPr="004C4D76">
          <w:rPr>
            <w:rStyle w:val="Hyperlink"/>
          </w:rPr>
          <w:t>https://www.capt.org.uk/Listing/Category/safety-in-lockdown</w:t>
        </w:r>
      </w:hyperlink>
      <w:r w:rsidRPr="004C4D76">
        <w:t xml:space="preserve"> </w:t>
      </w:r>
    </w:p>
    <w:p w14:paraId="1A910F3A" w14:textId="77777777" w:rsidR="004C4D76" w:rsidRPr="004C4D76" w:rsidRDefault="004C4D76" w:rsidP="004C4D76">
      <w:r w:rsidRPr="004C4D76">
        <w:t xml:space="preserve">In 2017 Public Health worked closely with Northwick Park Hospital to produce the infographic that outlines </w:t>
      </w:r>
      <w:proofErr w:type="gramStart"/>
      <w:r w:rsidRPr="004C4D76">
        <w:t>the  do’s</w:t>
      </w:r>
      <w:proofErr w:type="gramEnd"/>
      <w:r w:rsidRPr="004C4D76">
        <w:t xml:space="preserve"> and </w:t>
      </w:r>
      <w:proofErr w:type="spellStart"/>
      <w:r w:rsidRPr="004C4D76">
        <w:t>dont’s</w:t>
      </w:r>
      <w:proofErr w:type="spellEnd"/>
      <w:r w:rsidRPr="004C4D76">
        <w:t xml:space="preserve"> of prevention and first Aid. </w:t>
      </w:r>
    </w:p>
    <w:p w14:paraId="1A910F3B" w14:textId="77777777" w:rsidR="004C4D76" w:rsidRPr="004C4D76" w:rsidRDefault="004C4D76" w:rsidP="004C4D76">
      <w:r w:rsidRPr="004C4D76">
        <w:rPr>
          <w:noProof/>
          <w:lang w:eastAsia="en-GB"/>
        </w:rPr>
        <w:drawing>
          <wp:inline distT="0" distB="0" distL="0" distR="0" wp14:anchorId="1A910F72" wp14:editId="1A910F73">
            <wp:extent cx="4724400" cy="327021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33270" cy="3276353"/>
                    </a:xfrm>
                    <a:prstGeom prst="rect">
                      <a:avLst/>
                    </a:prstGeom>
                    <a:noFill/>
                  </pic:spPr>
                </pic:pic>
              </a:graphicData>
            </a:graphic>
          </wp:inline>
        </w:drawing>
      </w:r>
    </w:p>
    <w:p w14:paraId="1A910F3C" w14:textId="77777777" w:rsidR="004C4D76" w:rsidRPr="004C4D76" w:rsidRDefault="004C4D76" w:rsidP="00852CC1">
      <w:pPr>
        <w:pStyle w:val="Heading3"/>
      </w:pPr>
      <w:r w:rsidRPr="004C4D76">
        <w:t>Key communication messages</w:t>
      </w:r>
    </w:p>
    <w:tbl>
      <w:tblPr>
        <w:tblStyle w:val="TableGrid"/>
        <w:tblW w:w="0" w:type="auto"/>
        <w:tblLook w:val="04A0" w:firstRow="1" w:lastRow="0" w:firstColumn="1" w:lastColumn="0" w:noHBand="0" w:noVBand="1"/>
      </w:tblPr>
      <w:tblGrid>
        <w:gridCol w:w="6841"/>
      </w:tblGrid>
      <w:tr w:rsidR="004C4D76" w:rsidRPr="004C4D76" w14:paraId="1A910F3E" w14:textId="77777777" w:rsidTr="001E7F45">
        <w:tc>
          <w:tcPr>
            <w:tcW w:w="6841" w:type="dxa"/>
            <w:shd w:val="clear" w:color="auto" w:fill="F2F2F2" w:themeFill="background1" w:themeFillShade="F2"/>
          </w:tcPr>
          <w:p w14:paraId="1A910F3D" w14:textId="77777777" w:rsidR="004C4D76" w:rsidRPr="004C4D76" w:rsidRDefault="004C4D76" w:rsidP="004C4D76">
            <w:pPr>
              <w:spacing w:after="200" w:line="276" w:lineRule="auto"/>
            </w:pPr>
            <w:r w:rsidRPr="004C4D76">
              <w:t xml:space="preserve">Children </w:t>
            </w:r>
            <w:proofErr w:type="gramStart"/>
            <w:r w:rsidRPr="004C4D76">
              <w:t>should be supervised at all times</w:t>
            </w:r>
            <w:proofErr w:type="gramEnd"/>
          </w:p>
        </w:tc>
      </w:tr>
      <w:tr w:rsidR="004C4D76" w:rsidRPr="004C4D76" w14:paraId="1A910F40" w14:textId="77777777" w:rsidTr="001E7F45">
        <w:tc>
          <w:tcPr>
            <w:tcW w:w="6841" w:type="dxa"/>
            <w:shd w:val="clear" w:color="auto" w:fill="F2F2F2" w:themeFill="background1" w:themeFillShade="F2"/>
          </w:tcPr>
          <w:p w14:paraId="1A910F3F" w14:textId="77777777" w:rsidR="004C4D76" w:rsidRPr="004C4D76" w:rsidRDefault="004C4D76" w:rsidP="004C4D76">
            <w:pPr>
              <w:spacing w:after="200" w:line="276" w:lineRule="auto"/>
            </w:pPr>
            <w:r w:rsidRPr="004C4D76">
              <w:t>Keep floors free of toys and obstructions that can be tripped over</w:t>
            </w:r>
          </w:p>
        </w:tc>
      </w:tr>
      <w:tr w:rsidR="004C4D76" w:rsidRPr="004C4D76" w14:paraId="1A910F42" w14:textId="77777777" w:rsidTr="001E7F45">
        <w:tc>
          <w:tcPr>
            <w:tcW w:w="6841" w:type="dxa"/>
            <w:shd w:val="clear" w:color="auto" w:fill="F2F2F2" w:themeFill="background1" w:themeFillShade="F2"/>
          </w:tcPr>
          <w:p w14:paraId="1A910F41" w14:textId="77777777" w:rsidR="004C4D76" w:rsidRPr="004C4D76" w:rsidRDefault="004C4D76" w:rsidP="004C4D76">
            <w:pPr>
              <w:spacing w:after="200" w:line="276" w:lineRule="auto"/>
            </w:pPr>
            <w:r w:rsidRPr="004C4D76">
              <w:t>Always use a securely fitted safety harness in a pram, pushchair or highchair</w:t>
            </w:r>
          </w:p>
        </w:tc>
      </w:tr>
      <w:tr w:rsidR="004C4D76" w:rsidRPr="004C4D76" w14:paraId="1A910F44" w14:textId="77777777" w:rsidTr="001E7F45">
        <w:tc>
          <w:tcPr>
            <w:tcW w:w="6841" w:type="dxa"/>
            <w:shd w:val="clear" w:color="auto" w:fill="F2F2F2" w:themeFill="background1" w:themeFillShade="F2"/>
          </w:tcPr>
          <w:p w14:paraId="1A910F43" w14:textId="77777777" w:rsidR="004C4D76" w:rsidRPr="004C4D76" w:rsidRDefault="004C4D76" w:rsidP="004C4D76">
            <w:pPr>
              <w:spacing w:after="200" w:line="276" w:lineRule="auto"/>
            </w:pPr>
            <w:r w:rsidRPr="004C4D76">
              <w:t>Never leave babies unattended on raised surfaces</w:t>
            </w:r>
          </w:p>
        </w:tc>
      </w:tr>
      <w:tr w:rsidR="004C4D76" w:rsidRPr="004C4D76" w14:paraId="1A910F46" w14:textId="77777777" w:rsidTr="001E7F45">
        <w:tc>
          <w:tcPr>
            <w:tcW w:w="6841" w:type="dxa"/>
            <w:shd w:val="clear" w:color="auto" w:fill="F2F2F2" w:themeFill="background1" w:themeFillShade="F2"/>
          </w:tcPr>
          <w:p w14:paraId="1A910F45" w14:textId="77777777" w:rsidR="004C4D76" w:rsidRPr="004C4D76" w:rsidRDefault="004C4D76" w:rsidP="004C4D76">
            <w:pPr>
              <w:spacing w:after="200" w:line="276" w:lineRule="auto"/>
            </w:pPr>
            <w:r w:rsidRPr="004C4D76">
              <w:t xml:space="preserve">Do not place baby bouncers on raised surfaces - they could fall off </w:t>
            </w:r>
            <w:r w:rsidRPr="004C4D76">
              <w:lastRenderedPageBreak/>
              <w:t>with the movement of the baby</w:t>
            </w:r>
          </w:p>
        </w:tc>
      </w:tr>
      <w:tr w:rsidR="004C4D76" w:rsidRPr="004C4D76" w14:paraId="1A910F48" w14:textId="77777777" w:rsidTr="001E7F45">
        <w:tc>
          <w:tcPr>
            <w:tcW w:w="6841" w:type="dxa"/>
            <w:shd w:val="clear" w:color="auto" w:fill="F2F2F2" w:themeFill="background1" w:themeFillShade="F2"/>
          </w:tcPr>
          <w:p w14:paraId="1A910F47" w14:textId="77777777" w:rsidR="004C4D76" w:rsidRPr="004C4D76" w:rsidRDefault="004C4D76" w:rsidP="004C4D76">
            <w:pPr>
              <w:spacing w:after="200" w:line="276" w:lineRule="auto"/>
            </w:pPr>
            <w:r w:rsidRPr="004C4D76">
              <w:lastRenderedPageBreak/>
              <w:t xml:space="preserve">The use of baby-walkers and table-mounted </w:t>
            </w:r>
            <w:proofErr w:type="gramStart"/>
            <w:r w:rsidRPr="004C4D76">
              <w:t>high chairs</w:t>
            </w:r>
            <w:proofErr w:type="gramEnd"/>
            <w:r w:rsidRPr="004C4D76">
              <w:t xml:space="preserve"> is not recommended.</w:t>
            </w:r>
          </w:p>
        </w:tc>
      </w:tr>
    </w:tbl>
    <w:p w14:paraId="1A910F49" w14:textId="77777777" w:rsidR="004C4D76" w:rsidRPr="004C4D76" w:rsidRDefault="004C4D76" w:rsidP="004C4D76">
      <w:r w:rsidRPr="004C4D76">
        <w:t xml:space="preserve">Source: </w:t>
      </w:r>
      <w:proofErr w:type="spellStart"/>
      <w:r w:rsidRPr="004C4D76">
        <w:t>RoSPA</w:t>
      </w:r>
      <w:proofErr w:type="spellEnd"/>
      <w:r w:rsidRPr="004C4D76">
        <w:t>. Preventing accidents to children.</w:t>
      </w:r>
    </w:p>
    <w:p w14:paraId="1A910F4A" w14:textId="77777777" w:rsidR="004C4D76" w:rsidRPr="004C4D76" w:rsidRDefault="00852CC1" w:rsidP="00852CC1">
      <w:pPr>
        <w:pStyle w:val="Heading2"/>
      </w:pPr>
      <w:r>
        <w:t xml:space="preserve">Impact on </w:t>
      </w:r>
      <w:r w:rsidR="004C4D76" w:rsidRPr="004C4D76">
        <w:t>Childhood immunisations</w:t>
      </w:r>
    </w:p>
    <w:p w14:paraId="1A910F4B" w14:textId="77777777" w:rsidR="004C4D76" w:rsidRPr="004C4D76" w:rsidRDefault="004C4D76" w:rsidP="004C4D76">
      <w:r w:rsidRPr="004C4D76">
        <w:t>Vaccines are one of the greatest impact public health interventions; and have helped eradicate and reduce cases of serious and fatal diseases.</w:t>
      </w:r>
      <w:r w:rsidRPr="004C4D76">
        <w:rPr>
          <w:vertAlign w:val="superscript"/>
        </w:rPr>
        <w:endnoteReference w:id="72"/>
      </w:r>
      <w:r w:rsidRPr="004C4D76">
        <w:t xml:space="preserve"> The childhood immunisation schedule provides early protection against conditions that are most dangerous for the very young; this includes diphtheria, whooping cough, polio, rotavirus, meningitis and measles.</w:t>
      </w:r>
      <w:r w:rsidRPr="004C4D76">
        <w:rPr>
          <w:vertAlign w:val="superscript"/>
        </w:rPr>
        <w:endnoteReference w:id="73"/>
      </w:r>
      <w:r w:rsidRPr="004C4D76">
        <w:t xml:space="preserve"> </w:t>
      </w:r>
      <w:r w:rsidRPr="004C4D76">
        <w:rPr>
          <w:vertAlign w:val="superscript"/>
        </w:rPr>
        <w:endnoteReference w:id="74"/>
      </w:r>
    </w:p>
    <w:p w14:paraId="1A910F4C" w14:textId="77777777" w:rsidR="001D1A21" w:rsidRPr="004C4D76" w:rsidRDefault="004C4D76" w:rsidP="001D1A21">
      <w:r w:rsidRPr="004C4D76">
        <w:t>Immunisations are an essential health service, and the childhood immunisation schedule is continuing through the pandemic</w:t>
      </w:r>
      <w:r w:rsidRPr="004C4D76">
        <w:rPr>
          <w:vertAlign w:val="superscript"/>
        </w:rPr>
        <w:endnoteReference w:id="75"/>
      </w:r>
      <w:r w:rsidRPr="004C4D76">
        <w:t xml:space="preserve">. </w:t>
      </w:r>
      <w:r w:rsidR="00852CC1">
        <w:t xml:space="preserve"> </w:t>
      </w:r>
      <w:r w:rsidR="001D1A21">
        <w:t>P</w:t>
      </w:r>
      <w:r w:rsidR="001D1A21" w:rsidRPr="004C4D76">
        <w:t>rovided children and parents are well, it is advised that childhood immunisations should proceed.</w:t>
      </w:r>
    </w:p>
    <w:p w14:paraId="1A910F4D" w14:textId="77777777" w:rsidR="001D1A21" w:rsidRPr="004C4D76" w:rsidRDefault="001D1A21" w:rsidP="001D1A21">
      <w:r w:rsidRPr="004C4D76">
        <w:t xml:space="preserve">Vaccination rates for </w:t>
      </w:r>
      <w:proofErr w:type="gramStart"/>
      <w:r w:rsidRPr="004C4D76">
        <w:t>2 year</w:t>
      </w:r>
      <w:proofErr w:type="gramEnd"/>
      <w:r w:rsidRPr="004C4D76">
        <w:t xml:space="preserve"> olds in Harrow before COVID-19 show that Harrow was behind the national average and lower than the 95% recommended vaccination rate. For </w:t>
      </w:r>
      <w:proofErr w:type="gramStart"/>
      <w:r w:rsidRPr="004C4D76">
        <w:t>example</w:t>
      </w:r>
      <w:proofErr w:type="gramEnd"/>
      <w:r w:rsidRPr="004C4D76">
        <w:t xml:space="preserve"> the percentage of children receiving one dose of MMR before the age of 2 was 85.7% in 2018/19 compared to 89.9% in England.</w:t>
      </w:r>
      <w:r w:rsidRPr="004C4D76">
        <w:rPr>
          <w:vertAlign w:val="superscript"/>
        </w:rPr>
        <w:endnoteReference w:id="76"/>
      </w:r>
    </w:p>
    <w:p w14:paraId="1A910F4E" w14:textId="77777777" w:rsidR="001D1A21" w:rsidRDefault="001D1A21" w:rsidP="004C4D76"/>
    <w:p w14:paraId="1A910F4F" w14:textId="77777777" w:rsidR="00852CC1" w:rsidRDefault="00852CC1" w:rsidP="004C4D76">
      <w:r w:rsidRPr="004C4D76">
        <w:rPr>
          <w:noProof/>
          <w:lang w:eastAsia="en-GB"/>
        </w:rPr>
        <w:drawing>
          <wp:inline distT="0" distB="0" distL="0" distR="0" wp14:anchorId="1A910F74" wp14:editId="1A910F75">
            <wp:extent cx="4133850" cy="4133850"/>
            <wp:effectExtent l="0" t="0" r="0" b="0"/>
            <wp:docPr id="6" name="Picture 6" descr="C:\Users\alagos\AppData\Local\Microsoft\Windows\Temporary Internet Files\Content.Outlook\A0MT1ZTU\PHE_Imm_helps_protect_from_disease_Instagram_young_family_1080x108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agos\AppData\Local\Microsoft\Windows\Temporary Internet Files\Content.Outlook\A0MT1ZTU\PHE_Imm_helps_protect_from_disease_Instagram_young_family_1080x1080_01.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38990" cy="4138990"/>
                    </a:xfrm>
                    <a:prstGeom prst="rect">
                      <a:avLst/>
                    </a:prstGeom>
                    <a:noFill/>
                    <a:ln>
                      <a:noFill/>
                    </a:ln>
                  </pic:spPr>
                </pic:pic>
              </a:graphicData>
            </a:graphic>
          </wp:inline>
        </w:drawing>
      </w:r>
    </w:p>
    <w:p w14:paraId="1A910F50" w14:textId="77777777" w:rsidR="004C4D76" w:rsidRPr="004C4D76" w:rsidRDefault="004C4D76" w:rsidP="00852CC1">
      <w:pPr>
        <w:pStyle w:val="Heading3"/>
      </w:pPr>
      <w:r w:rsidRPr="004C4D76">
        <w:t>Impact of Covid-19</w:t>
      </w:r>
    </w:p>
    <w:p w14:paraId="1A910F51" w14:textId="77777777" w:rsidR="004C4D76" w:rsidRPr="004C4D76" w:rsidRDefault="004C4D76" w:rsidP="004C4D76">
      <w:r w:rsidRPr="004C4D76">
        <w:t xml:space="preserve">Childhood immunisation provisional data shows a drop by a quarter for the primary immunisations and by 15% for MMR in London. When London was already worse than the rest of the country. Public Health are working with our CCG partners and PHE London to promote greater uptake and reassure parents that it is safe to </w:t>
      </w:r>
      <w:r w:rsidRPr="004C4D76">
        <w:lastRenderedPageBreak/>
        <w:t>take their child to the GP practices. There is anecdotal evidence that some parents believe that if they are socially distancing there is no risk to their child of picking up diseases which is not the case for e.g. meningitis or tetanus</w:t>
      </w:r>
    </w:p>
    <w:p w14:paraId="1A910F52" w14:textId="77777777" w:rsidR="004C4D76" w:rsidRPr="004C4D76" w:rsidRDefault="004C4D76" w:rsidP="00852CC1">
      <w:pPr>
        <w:pStyle w:val="Heading3"/>
      </w:pPr>
      <w:r w:rsidRPr="004C4D76">
        <w:t>Key communication messages</w:t>
      </w:r>
    </w:p>
    <w:tbl>
      <w:tblPr>
        <w:tblStyle w:val="TableGrid"/>
        <w:tblW w:w="0" w:type="auto"/>
        <w:shd w:val="clear" w:color="auto" w:fill="F2F2F2" w:themeFill="background1" w:themeFillShade="F2"/>
        <w:tblLook w:val="04A0" w:firstRow="1" w:lastRow="0" w:firstColumn="1" w:lastColumn="0" w:noHBand="0" w:noVBand="1"/>
      </w:tblPr>
      <w:tblGrid>
        <w:gridCol w:w="6841"/>
      </w:tblGrid>
      <w:tr w:rsidR="004C4D76" w:rsidRPr="004C4D76" w14:paraId="1A910F55" w14:textId="77777777" w:rsidTr="001E7F45">
        <w:tc>
          <w:tcPr>
            <w:tcW w:w="6841" w:type="dxa"/>
            <w:shd w:val="clear" w:color="auto" w:fill="F2F2F2" w:themeFill="background1" w:themeFillShade="F2"/>
          </w:tcPr>
          <w:p w14:paraId="1A910F53" w14:textId="77777777" w:rsidR="004C4D76" w:rsidRPr="004C4D76" w:rsidRDefault="004C4D76" w:rsidP="004C4D76">
            <w:pPr>
              <w:spacing w:after="200" w:line="276" w:lineRule="auto"/>
            </w:pPr>
            <w:r w:rsidRPr="004C4D76">
              <w:t xml:space="preserve">If you have a child aged 0-5 years and they have not finished their Routine Childhood Immunisation Schedule, please make an appointment with your general practice. Your GP can vaccinate your child safely despite coronavirus. </w:t>
            </w:r>
          </w:p>
          <w:p w14:paraId="1A910F54" w14:textId="77777777" w:rsidR="004C4D76" w:rsidRPr="004C4D76" w:rsidRDefault="004C4D76" w:rsidP="004C4D76">
            <w:pPr>
              <w:spacing w:after="200" w:line="276" w:lineRule="auto"/>
            </w:pPr>
            <w:r w:rsidRPr="004C4D76">
              <w:t>Don’t delay, vaccinations reduce the chance of serious illness by up to 90%. Call your GP today.</w:t>
            </w:r>
          </w:p>
        </w:tc>
      </w:tr>
    </w:tbl>
    <w:p w14:paraId="1A910F56" w14:textId="77777777" w:rsidR="00852CC1" w:rsidRDefault="00852CC1" w:rsidP="004C4D76"/>
    <w:p w14:paraId="1A910F57" w14:textId="77777777" w:rsidR="004C4D76" w:rsidRPr="004C4D76" w:rsidRDefault="004C4D76" w:rsidP="004C4D76">
      <w:pPr>
        <w:rPr>
          <w:b/>
          <w:bCs/>
        </w:rPr>
      </w:pPr>
      <w:r w:rsidRPr="004C4D76">
        <w:rPr>
          <w:b/>
          <w:bCs/>
        </w:rPr>
        <w:t>References</w:t>
      </w:r>
    </w:p>
    <w:sectPr w:rsidR="004C4D76" w:rsidRPr="004C4D76" w:rsidSect="00C06AD7">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0F78" w14:textId="77777777" w:rsidR="00AE6977" w:rsidRDefault="00AE6977" w:rsidP="004C4D76">
      <w:pPr>
        <w:spacing w:after="0" w:line="240" w:lineRule="auto"/>
      </w:pPr>
      <w:r>
        <w:separator/>
      </w:r>
    </w:p>
  </w:endnote>
  <w:endnote w:type="continuationSeparator" w:id="0">
    <w:p w14:paraId="1A910F79" w14:textId="77777777" w:rsidR="00AE6977" w:rsidRDefault="00AE6977" w:rsidP="004C4D76">
      <w:pPr>
        <w:spacing w:after="0" w:line="240" w:lineRule="auto"/>
      </w:pPr>
      <w:r>
        <w:continuationSeparator/>
      </w:r>
    </w:p>
  </w:endnote>
  <w:endnote w:id="1">
    <w:p w14:paraId="1A910F7A" w14:textId="77777777" w:rsidR="00AE6977" w:rsidRDefault="00AE6977" w:rsidP="001E7F45">
      <w:pPr>
        <w:pStyle w:val="EndnoteText"/>
      </w:pPr>
      <w:r>
        <w:rPr>
          <w:rStyle w:val="EndnoteReference"/>
        </w:rPr>
        <w:endnoteRef/>
      </w:r>
      <w:r>
        <w:t xml:space="preserve"> World Health Organization. Coronavirus disease (COVID-19) Pandemic. Available here: </w:t>
      </w:r>
      <w:hyperlink r:id="rId1" w:history="1">
        <w:r>
          <w:rPr>
            <w:rStyle w:val="Hyperlink"/>
          </w:rPr>
          <w:t>https://www.who.int/emergencies/diseases/novel-coronavirus-2019</w:t>
        </w:r>
      </w:hyperlink>
    </w:p>
  </w:endnote>
  <w:endnote w:id="2">
    <w:p w14:paraId="1A910F7B" w14:textId="77777777" w:rsidR="00AE6977" w:rsidRDefault="00AE6977" w:rsidP="001E7F45">
      <w:pPr>
        <w:pStyle w:val="EndnoteText"/>
      </w:pPr>
      <w:r>
        <w:rPr>
          <w:rStyle w:val="EndnoteReference"/>
        </w:rPr>
        <w:endnoteRef/>
      </w:r>
      <w:r>
        <w:t xml:space="preserve"> PHE and NHSX. Coronavirus (COVID-19) in the UK. Available here: </w:t>
      </w:r>
      <w:hyperlink r:id="rId2" w:history="1">
        <w:r>
          <w:rPr>
            <w:rStyle w:val="Hyperlink"/>
          </w:rPr>
          <w:t>https://coronavirus.data.gov.uk/</w:t>
        </w:r>
      </w:hyperlink>
    </w:p>
  </w:endnote>
  <w:endnote w:id="3">
    <w:p w14:paraId="1A910F7C" w14:textId="77777777" w:rsidR="00AE6977" w:rsidRDefault="00AE6977" w:rsidP="001E7F45">
      <w:pPr>
        <w:pStyle w:val="EndnoteText"/>
      </w:pPr>
      <w:r>
        <w:rPr>
          <w:rStyle w:val="EndnoteReference"/>
        </w:rPr>
        <w:endnoteRef/>
      </w:r>
      <w:r>
        <w:t xml:space="preserve"> PHE. Guidance for the public on the mental health and wellbeing aspects of coronavirus (COVID-19). Available here: </w:t>
      </w:r>
      <w:hyperlink r:id="rId3" w:history="1">
        <w:r>
          <w:rPr>
            <w:rStyle w:val="Hyperlink"/>
          </w:rPr>
          <w:t>https://www.gov.uk/government/publications/covid-19-guidance-for-the-public-on-mental-health-and-wellbeing/guidance-for-the-public-on-the-mental-health-and-wellbeing-aspects-of-coronavirus-covid-19</w:t>
        </w:r>
      </w:hyperlink>
    </w:p>
  </w:endnote>
  <w:endnote w:id="4">
    <w:p w14:paraId="1A910F7D" w14:textId="77777777" w:rsidR="00AE6977" w:rsidRDefault="00AE6977" w:rsidP="001E7F45">
      <w:pPr>
        <w:pStyle w:val="EndnoteText"/>
      </w:pPr>
      <w:r>
        <w:rPr>
          <w:rStyle w:val="EndnoteReference"/>
        </w:rPr>
        <w:endnoteRef/>
      </w:r>
      <w:r>
        <w:t xml:space="preserve"> </w:t>
      </w:r>
      <w:r w:rsidRPr="00253B91">
        <w:t>Wang, C., Pan, R., Wan, X., Tan, Y., Xu, L., Ho, C. S., &amp; Ho, R. C. (2020). Immediate Psychological Responses and Associated Factors during the Initial Stage of the 2019 Coronavirus Disease (COVID-19) Epidemic among the General Population in China. </w:t>
      </w:r>
      <w:r w:rsidRPr="00253B91">
        <w:rPr>
          <w:i/>
          <w:iCs/>
        </w:rPr>
        <w:t>International journal of environmental research and public health</w:t>
      </w:r>
      <w:r w:rsidRPr="00253B91">
        <w:t>, </w:t>
      </w:r>
      <w:r w:rsidRPr="00253B91">
        <w:rPr>
          <w:i/>
          <w:iCs/>
        </w:rPr>
        <w:t>17</w:t>
      </w:r>
      <w:r w:rsidRPr="00253B91">
        <w:t xml:space="preserve">(5), 1729. </w:t>
      </w:r>
      <w:r>
        <w:t xml:space="preserve">Available here: </w:t>
      </w:r>
      <w:hyperlink r:id="rId4" w:history="1">
        <w:r w:rsidRPr="00267692">
          <w:rPr>
            <w:rStyle w:val="Hyperlink"/>
          </w:rPr>
          <w:t>https://doi.org/10.3390/ijerph17051729</w:t>
        </w:r>
      </w:hyperlink>
      <w:r>
        <w:t xml:space="preserve"> </w:t>
      </w:r>
    </w:p>
  </w:endnote>
  <w:endnote w:id="5">
    <w:p w14:paraId="1A910F7E" w14:textId="77777777" w:rsidR="00AE6977" w:rsidRPr="00253B91" w:rsidRDefault="00AE6977" w:rsidP="001E7F45">
      <w:pPr>
        <w:pStyle w:val="EndnoteText"/>
        <w:rPr>
          <w:rFonts w:cstheme="minorHAnsi"/>
        </w:rPr>
      </w:pPr>
      <w:r w:rsidRPr="00253B91">
        <w:rPr>
          <w:rStyle w:val="EndnoteReference"/>
          <w:rFonts w:cstheme="minorHAnsi"/>
        </w:rPr>
        <w:endnoteRef/>
      </w:r>
      <w:r w:rsidRPr="00253B91">
        <w:rPr>
          <w:rFonts w:cstheme="minorHAnsi"/>
        </w:rPr>
        <w:t xml:space="preserve"> </w:t>
      </w:r>
      <w:r w:rsidRPr="00253B91">
        <w:rPr>
          <w:rFonts w:cstheme="minorHAnsi"/>
          <w:color w:val="222222"/>
          <w:shd w:val="clear" w:color="auto" w:fill="FFFFFF"/>
        </w:rPr>
        <w:t>Li, S., Wang, Y., Xue, J., Zhao, N., &amp; Zhu, T. (2020). The Impact of COVID-19 Epidemic Declaration on Psychological Consequences: A Study on Active Weibo Users. </w:t>
      </w:r>
      <w:r w:rsidRPr="00253B91">
        <w:rPr>
          <w:rFonts w:cstheme="minorHAnsi"/>
          <w:i/>
          <w:iCs/>
          <w:color w:val="222222"/>
          <w:shd w:val="clear" w:color="auto" w:fill="FFFFFF"/>
        </w:rPr>
        <w:t>International Journal of Environmental Research and Public Health</w:t>
      </w:r>
      <w:r w:rsidRPr="00253B91">
        <w:rPr>
          <w:rFonts w:cstheme="minorHAnsi"/>
          <w:color w:val="222222"/>
          <w:shd w:val="clear" w:color="auto" w:fill="FFFFFF"/>
        </w:rPr>
        <w:t>, </w:t>
      </w:r>
      <w:r w:rsidRPr="00253B91">
        <w:rPr>
          <w:rFonts w:cstheme="minorHAnsi"/>
          <w:i/>
          <w:iCs/>
          <w:color w:val="222222"/>
          <w:shd w:val="clear" w:color="auto" w:fill="FFFFFF"/>
        </w:rPr>
        <w:t>17</w:t>
      </w:r>
      <w:r w:rsidRPr="00253B91">
        <w:rPr>
          <w:rFonts w:cstheme="minorHAnsi"/>
          <w:color w:val="222222"/>
          <w:shd w:val="clear" w:color="auto" w:fill="FFFFFF"/>
        </w:rPr>
        <w:t>(6), 2032. Availa</w:t>
      </w:r>
      <w:r>
        <w:rPr>
          <w:rFonts w:cstheme="minorHAnsi"/>
          <w:color w:val="222222"/>
          <w:shd w:val="clear" w:color="auto" w:fill="FFFFFF"/>
        </w:rPr>
        <w:t xml:space="preserve">ble here: </w:t>
      </w:r>
      <w:hyperlink r:id="rId5" w:history="1">
        <w:r w:rsidRPr="00267692">
          <w:rPr>
            <w:rStyle w:val="Hyperlink"/>
            <w:rFonts w:cstheme="minorHAnsi"/>
            <w:shd w:val="clear" w:color="auto" w:fill="FFFFFF"/>
          </w:rPr>
          <w:t>https://doi.org/10.3390/ijerph17062032</w:t>
        </w:r>
      </w:hyperlink>
      <w:r>
        <w:rPr>
          <w:rFonts w:cstheme="minorHAnsi"/>
          <w:color w:val="222222"/>
          <w:shd w:val="clear" w:color="auto" w:fill="FFFFFF"/>
        </w:rPr>
        <w:t xml:space="preserve">  </w:t>
      </w:r>
    </w:p>
  </w:endnote>
  <w:endnote w:id="6">
    <w:p w14:paraId="1A910F7F" w14:textId="77777777" w:rsidR="00AE6977" w:rsidRDefault="00AE6977" w:rsidP="001E7F45">
      <w:pPr>
        <w:pStyle w:val="EndnoteText"/>
      </w:pPr>
      <w:r>
        <w:rPr>
          <w:rStyle w:val="EndnoteReference"/>
        </w:rPr>
        <w:endnoteRef/>
      </w:r>
      <w:r>
        <w:t xml:space="preserve"> </w:t>
      </w:r>
      <w:r w:rsidRPr="002D1F98">
        <w:t>Torales, J., O’Higgins, M., Castaldelli-Maia, J. M., &amp; Ventriglio, A. (2020). The outbreak of COVID-19 coronavirus and its impact on global mental health. </w:t>
      </w:r>
      <w:r w:rsidRPr="002D1F98">
        <w:rPr>
          <w:i/>
          <w:iCs/>
        </w:rPr>
        <w:t>International Journal of Social Psychiatry</w:t>
      </w:r>
      <w:r w:rsidRPr="002D1F98">
        <w:t>. </w:t>
      </w:r>
      <w:r>
        <w:t xml:space="preserve">Available here: </w:t>
      </w:r>
      <w:hyperlink r:id="rId6" w:history="1">
        <w:r w:rsidRPr="00267692">
          <w:rPr>
            <w:rStyle w:val="Hyperlink"/>
          </w:rPr>
          <w:t>https://doi.org/10.1177/0020764020915212</w:t>
        </w:r>
      </w:hyperlink>
    </w:p>
  </w:endnote>
  <w:endnote w:id="7">
    <w:p w14:paraId="1A910F80" w14:textId="77777777" w:rsidR="00AE6977" w:rsidRDefault="00AE6977" w:rsidP="001E7F45">
      <w:pPr>
        <w:pStyle w:val="EndnoteText"/>
      </w:pPr>
      <w:r>
        <w:rPr>
          <w:rStyle w:val="EndnoteReference"/>
        </w:rPr>
        <w:endnoteRef/>
      </w:r>
      <w:r>
        <w:t xml:space="preserve"> </w:t>
      </w:r>
      <w:r w:rsidRPr="000B3826">
        <w:t>Makwana N. (2019). Disaster and its impact on mental health: A narrative review. </w:t>
      </w:r>
      <w:r w:rsidRPr="000B3826">
        <w:rPr>
          <w:i/>
          <w:iCs/>
        </w:rPr>
        <w:t>Journal of family medicine and primary care</w:t>
      </w:r>
      <w:r w:rsidRPr="000B3826">
        <w:t>, </w:t>
      </w:r>
      <w:r w:rsidRPr="000B3826">
        <w:rPr>
          <w:i/>
          <w:iCs/>
        </w:rPr>
        <w:t>8</w:t>
      </w:r>
      <w:r w:rsidRPr="000B3826">
        <w:t xml:space="preserve">(10), 3090–3095. </w:t>
      </w:r>
      <w:r>
        <w:t xml:space="preserve">Available here: </w:t>
      </w:r>
      <w:hyperlink r:id="rId7" w:history="1">
        <w:r w:rsidRPr="00267692">
          <w:rPr>
            <w:rStyle w:val="Hyperlink"/>
          </w:rPr>
          <w:t>https://doi.org/10.4103/jfmpc.jfmpc_893_19</w:t>
        </w:r>
      </w:hyperlink>
      <w:r>
        <w:t xml:space="preserve"> </w:t>
      </w:r>
    </w:p>
  </w:endnote>
  <w:endnote w:id="8">
    <w:p w14:paraId="1A910F81" w14:textId="77777777" w:rsidR="00AE6977" w:rsidRDefault="00AE6977" w:rsidP="001E7F45">
      <w:pPr>
        <w:pStyle w:val="EndnoteText"/>
      </w:pPr>
      <w:r>
        <w:rPr>
          <w:rStyle w:val="EndnoteReference"/>
        </w:rPr>
        <w:endnoteRef/>
      </w:r>
      <w:r>
        <w:t xml:space="preserve"> </w:t>
      </w:r>
      <w:r w:rsidRPr="00E31750">
        <w:t>Brooks, S. K., Webster, R. K., Smith, L. E., Woodland, L., Wessely, S., Greenberg, N., &amp; Rubin, G. J. (2020). The psychological impact of quarantine and how to reduce it: rapid review of the evidence. </w:t>
      </w:r>
      <w:r w:rsidRPr="00E31750">
        <w:rPr>
          <w:i/>
          <w:iCs/>
        </w:rPr>
        <w:t>Lancet (London, England)</w:t>
      </w:r>
      <w:r w:rsidRPr="00E31750">
        <w:t>, </w:t>
      </w:r>
      <w:r w:rsidRPr="00E31750">
        <w:rPr>
          <w:i/>
          <w:iCs/>
        </w:rPr>
        <w:t>395</w:t>
      </w:r>
      <w:r w:rsidRPr="00E31750">
        <w:t xml:space="preserve">(10227), 912–920. </w:t>
      </w:r>
      <w:r>
        <w:t xml:space="preserve">Available here: </w:t>
      </w:r>
      <w:hyperlink r:id="rId8" w:history="1">
        <w:r w:rsidRPr="00267692">
          <w:rPr>
            <w:rStyle w:val="Hyperlink"/>
          </w:rPr>
          <w:t>https://doi.org/10.1016/S0140-6736(20)30460-8</w:t>
        </w:r>
      </w:hyperlink>
      <w:r>
        <w:t xml:space="preserve"> </w:t>
      </w:r>
    </w:p>
  </w:endnote>
  <w:endnote w:id="9">
    <w:p w14:paraId="1A910F82" w14:textId="77777777" w:rsidR="00AE6977" w:rsidRDefault="00AE6977" w:rsidP="001E7F45">
      <w:pPr>
        <w:pStyle w:val="EndnoteText"/>
      </w:pPr>
      <w:r>
        <w:rPr>
          <w:rStyle w:val="EndnoteReference"/>
        </w:rPr>
        <w:endnoteRef/>
      </w:r>
      <w:r>
        <w:t xml:space="preserve"> The Academy of Medical Sciences. Survey results: Understanding people’s concerns about the mental health impacts of the COVID-19 pandemic. Available here: </w:t>
      </w:r>
      <w:hyperlink r:id="rId9" w:tgtFrame="_blank" w:history="1">
        <w:r w:rsidRPr="006E1923">
          <w:rPr>
            <w:rStyle w:val="Hyperlink"/>
          </w:rPr>
          <w:t>http://www.acmedsci.ac.uk/COVIDmentalhealthsurveys</w:t>
        </w:r>
      </w:hyperlink>
    </w:p>
  </w:endnote>
  <w:endnote w:id="10">
    <w:p w14:paraId="1A910F83" w14:textId="77777777" w:rsidR="00AE6977" w:rsidRDefault="00AE6977" w:rsidP="001E7F45">
      <w:pPr>
        <w:pStyle w:val="EndnoteText"/>
      </w:pPr>
      <w:r>
        <w:rPr>
          <w:rStyle w:val="EndnoteReference"/>
        </w:rPr>
        <w:endnoteRef/>
      </w:r>
      <w:r>
        <w:t xml:space="preserve"> King’s College London and Ipsos MORI. Life under lockdown: coronavirus in the UK. Available here: </w:t>
      </w:r>
      <w:hyperlink r:id="rId10" w:history="1">
        <w:r>
          <w:rPr>
            <w:rStyle w:val="Hyperlink"/>
          </w:rPr>
          <w:t>https://www.kcl.ac.uk/news/life-under-lockdown-coronavirus-in-the-uk</w:t>
        </w:r>
      </w:hyperlink>
    </w:p>
  </w:endnote>
  <w:endnote w:id="11">
    <w:p w14:paraId="1A910F84" w14:textId="77777777" w:rsidR="00AE6977" w:rsidRDefault="00AE6977" w:rsidP="001E7F45">
      <w:pPr>
        <w:pStyle w:val="EndnoteText"/>
      </w:pPr>
      <w:r>
        <w:rPr>
          <w:rStyle w:val="EndnoteReference"/>
        </w:rPr>
        <w:endnoteRef/>
      </w:r>
      <w:r>
        <w:t xml:space="preserve"> House of Commons Home Affairs Committee. Home Office preparedness for Covid-19 (Coronavirus): domestic abuse and risks of harm within the home. Available here: </w:t>
      </w:r>
      <w:hyperlink r:id="rId11" w:history="1">
        <w:r>
          <w:rPr>
            <w:rStyle w:val="Hyperlink"/>
          </w:rPr>
          <w:t>https://publications.parliament.uk/pa/cm5801/cmselect/cmhaff/321/321.pdf</w:t>
        </w:r>
      </w:hyperlink>
    </w:p>
  </w:endnote>
  <w:endnote w:id="12">
    <w:p w14:paraId="1A910F85" w14:textId="77777777" w:rsidR="00AE6977" w:rsidRDefault="00AE6977" w:rsidP="001E7F45">
      <w:pPr>
        <w:pStyle w:val="EndnoteText"/>
      </w:pPr>
      <w:r>
        <w:rPr>
          <w:rStyle w:val="EndnoteReference"/>
        </w:rPr>
        <w:endnoteRef/>
      </w:r>
      <w:r>
        <w:t xml:space="preserve"> The Health Foundation. COVID-19: Five dimensions of impact. Available here: </w:t>
      </w:r>
      <w:hyperlink r:id="rId12" w:history="1">
        <w:r>
          <w:rPr>
            <w:rStyle w:val="Hyperlink"/>
          </w:rPr>
          <w:t>https://www.health.org.uk/news-and-comment/blogs/covid-19-five-dimensions-of-impact</w:t>
        </w:r>
      </w:hyperlink>
    </w:p>
  </w:endnote>
  <w:endnote w:id="13">
    <w:p w14:paraId="1A910F86" w14:textId="77777777" w:rsidR="00AE6977" w:rsidRDefault="00AE6977" w:rsidP="001E7F45">
      <w:pPr>
        <w:pStyle w:val="EndnoteText"/>
      </w:pPr>
      <w:r>
        <w:rPr>
          <w:rStyle w:val="EndnoteReference"/>
        </w:rPr>
        <w:endnoteRef/>
      </w:r>
      <w:r>
        <w:t xml:space="preserve"> GP Online. Millions of patients ‘avoiding calls to GP’ during COVID-19 pandemic. Available here: </w:t>
      </w:r>
      <w:hyperlink r:id="rId13" w:history="1">
        <w:r>
          <w:rPr>
            <w:rStyle w:val="Hyperlink"/>
          </w:rPr>
          <w:t>https://www.gponline.com/millions-patients-avoiding-calls-gp-during-covid-19-pandemic/article/1681384</w:t>
        </w:r>
      </w:hyperlink>
    </w:p>
  </w:endnote>
  <w:endnote w:id="14">
    <w:p w14:paraId="1A910F87" w14:textId="77777777" w:rsidR="00AE6977" w:rsidRDefault="00AE6977" w:rsidP="001E7F45">
      <w:pPr>
        <w:pStyle w:val="EndnoteText"/>
      </w:pPr>
      <w:r>
        <w:rPr>
          <w:rStyle w:val="EndnoteReference"/>
        </w:rPr>
        <w:endnoteRef/>
      </w:r>
      <w:r>
        <w:t xml:space="preserve"> NHS England. A&amp;E Attendances and Emergency Admissions. Available here: </w:t>
      </w:r>
      <w:hyperlink r:id="rId14" w:history="1">
        <w:r>
          <w:rPr>
            <w:rStyle w:val="Hyperlink"/>
          </w:rPr>
          <w:t>https://www.england.nhs.uk/statistics/statistical-work-areas/ae-waiting-times-and-activity/</w:t>
        </w:r>
      </w:hyperlink>
    </w:p>
  </w:endnote>
  <w:endnote w:id="15">
    <w:p w14:paraId="1A910F88" w14:textId="77777777" w:rsidR="00AE6977" w:rsidRDefault="00AE6977" w:rsidP="001E7F45">
      <w:pPr>
        <w:pStyle w:val="EndnoteText"/>
      </w:pPr>
      <w:r>
        <w:rPr>
          <w:rStyle w:val="EndnoteReference"/>
        </w:rPr>
        <w:endnoteRef/>
      </w:r>
      <w:r>
        <w:t xml:space="preserve"> PHE. Syndromic surveillance: systems and analyses. Available here: </w:t>
      </w:r>
      <w:hyperlink r:id="rId15" w:history="1">
        <w:r>
          <w:rPr>
            <w:rStyle w:val="Hyperlink"/>
          </w:rPr>
          <w:t>https://www.gov.uk/government/collections/syndromic-surveillance-systems-and-analyses</w:t>
        </w:r>
      </w:hyperlink>
    </w:p>
  </w:endnote>
  <w:endnote w:id="16">
    <w:p w14:paraId="1A910F89" w14:textId="77777777" w:rsidR="00AE6977" w:rsidRDefault="00AE6977" w:rsidP="001E7F45">
      <w:pPr>
        <w:pStyle w:val="EndnoteText"/>
      </w:pPr>
      <w:r>
        <w:rPr>
          <w:rStyle w:val="EndnoteReference"/>
        </w:rPr>
        <w:endnoteRef/>
      </w:r>
      <w:r>
        <w:t xml:space="preserve"> RCPG. Risk of “serious consequences” if non-COVID conditions unmanaged or untreated, warns College. Available here: </w:t>
      </w:r>
      <w:hyperlink r:id="rId16" w:history="1">
        <w:r>
          <w:rPr>
            <w:rStyle w:val="Hyperlink"/>
          </w:rPr>
          <w:t>https://www.rcgp.org.uk/about-us/news/2020/april/risk-of-serious-consequences-if-non-covid-conditions-unmanaged-or-untreated-warns-college.aspx</w:t>
        </w:r>
      </w:hyperlink>
    </w:p>
  </w:endnote>
  <w:endnote w:id="17">
    <w:p w14:paraId="1A910F8A" w14:textId="77777777" w:rsidR="00AE6977" w:rsidRDefault="00AE6977" w:rsidP="001E7F45">
      <w:pPr>
        <w:pStyle w:val="EndnoteText"/>
      </w:pPr>
      <w:r>
        <w:rPr>
          <w:rStyle w:val="EndnoteReference"/>
        </w:rPr>
        <w:endnoteRef/>
      </w:r>
      <w:r>
        <w:t xml:space="preserve"> RCGP and BMA. RCGP Guidance on workload prioritisation during COVID-19. Available here: </w:t>
      </w:r>
      <w:hyperlink r:id="rId17" w:history="1">
        <w:r>
          <w:rPr>
            <w:rStyle w:val="Hyperlink"/>
          </w:rPr>
          <w:t>https://www.rcgp.org.uk/-/media/Files/Policy/A-Z-policy/2020/covid19/RCGP-guidance/202003233RCGPGuidanceprioritisationroutineworkduringCovidFINAL.ashx?la=en</w:t>
        </w:r>
      </w:hyperlink>
      <w:r>
        <w:t xml:space="preserve"> </w:t>
      </w:r>
    </w:p>
  </w:endnote>
  <w:endnote w:id="18">
    <w:p w14:paraId="1A910F8B" w14:textId="77777777" w:rsidR="00AE6977" w:rsidRDefault="00AE6977" w:rsidP="001E7F45">
      <w:pPr>
        <w:pStyle w:val="EndnoteText"/>
      </w:pPr>
      <w:r>
        <w:rPr>
          <w:rStyle w:val="EndnoteReference"/>
        </w:rPr>
        <w:endnoteRef/>
      </w:r>
      <w:r>
        <w:t xml:space="preserve"> </w:t>
      </w:r>
      <w:r w:rsidRPr="008F3C43">
        <w:t>Holmes, E. A., O'Connor, R. C., Perry, V. H., Tracey, I., Wessely, S., Arseneault, L., Ballard, C., Christensen, H., Cohen Silver, R., Everall, I., Ford, T., John, A., Kabir, T., King, K., Madan, I., Michie, S., Przybylski, A. K., Shafran, R., Sweeney, A., Worthman, C. M., … Bullmore, E. (2020). Multidisciplinary research priorities for the COVID-19 pandemic: a call for action for mental health science. </w:t>
      </w:r>
      <w:r w:rsidRPr="008F3C43">
        <w:rPr>
          <w:i/>
          <w:iCs/>
        </w:rPr>
        <w:t xml:space="preserve">The </w:t>
      </w:r>
      <w:r>
        <w:rPr>
          <w:i/>
          <w:iCs/>
        </w:rPr>
        <w:t>L</w:t>
      </w:r>
      <w:r w:rsidRPr="008F3C43">
        <w:rPr>
          <w:i/>
          <w:iCs/>
        </w:rPr>
        <w:t>ancet. Psychiatry</w:t>
      </w:r>
      <w:r w:rsidRPr="008F3C43">
        <w:t xml:space="preserve">, S2215-0366(20)30168-1. Advance online publication. </w:t>
      </w:r>
      <w:r>
        <w:t xml:space="preserve">Available here: </w:t>
      </w:r>
      <w:hyperlink r:id="rId18" w:history="1">
        <w:r w:rsidRPr="00267692">
          <w:rPr>
            <w:rStyle w:val="Hyperlink"/>
          </w:rPr>
          <w:t>https://doi.org/10.1016/S2215-0366(20)30168-1</w:t>
        </w:r>
      </w:hyperlink>
      <w:r>
        <w:t xml:space="preserve"> </w:t>
      </w:r>
    </w:p>
  </w:endnote>
  <w:endnote w:id="19">
    <w:p w14:paraId="1A910F8C" w14:textId="77777777" w:rsidR="00AE6977" w:rsidRDefault="00AE6977" w:rsidP="001E7F45">
      <w:pPr>
        <w:pStyle w:val="EndnoteText"/>
      </w:pPr>
      <w:r>
        <w:rPr>
          <w:rStyle w:val="EndnoteReference"/>
        </w:rPr>
        <w:endnoteRef/>
      </w:r>
      <w:r>
        <w:t xml:space="preserve"> World Health Organization Regional Office for Europe. Mental health and COVID-19. Available here: </w:t>
      </w:r>
      <w:hyperlink r:id="rId19" w:history="1">
        <w:r>
          <w:rPr>
            <w:rStyle w:val="Hyperlink"/>
          </w:rPr>
          <w:t>http://www.euro.who.int/en/health-topics/health-emergencies/coronavirus-covid-19/novel-coronavirus-2019-ncov-technical-guidance-OLD/coronavirus-disease-covid-19-outbreak-technical-guidance-europe-OLD/mental-health-and-covid-19</w:t>
        </w:r>
      </w:hyperlink>
    </w:p>
  </w:endnote>
  <w:endnote w:id="20">
    <w:p w14:paraId="1A910F8D" w14:textId="77777777" w:rsidR="00AE6977" w:rsidRDefault="00AE6977" w:rsidP="00A673AB">
      <w:pPr>
        <w:pStyle w:val="EndnoteText"/>
      </w:pPr>
      <w:r>
        <w:rPr>
          <w:rStyle w:val="EndnoteReference"/>
        </w:rPr>
        <w:endnoteRef/>
      </w:r>
      <w:r>
        <w:t xml:space="preserve"> CNWL. Harrow Health Visiting Service. Available here: </w:t>
      </w:r>
      <w:hyperlink r:id="rId20" w:history="1">
        <w:r w:rsidRPr="00CD6772">
          <w:rPr>
            <w:rStyle w:val="Hyperlink"/>
          </w:rPr>
          <w:t>https://www.cnwl.nhs.uk/services/community-services/harrow-health-visiting-service</w:t>
        </w:r>
      </w:hyperlink>
    </w:p>
  </w:endnote>
  <w:endnote w:id="21">
    <w:p w14:paraId="1A910F8E" w14:textId="77777777" w:rsidR="00AE6977" w:rsidRDefault="00AE6977" w:rsidP="00A673AB">
      <w:pPr>
        <w:pStyle w:val="EndnoteText"/>
      </w:pPr>
      <w:r>
        <w:rPr>
          <w:rStyle w:val="EndnoteReference"/>
        </w:rPr>
        <w:endnoteRef/>
      </w:r>
      <w:r>
        <w:t xml:space="preserve"> CNWL. Harrow School Health Service. Available here: </w:t>
      </w:r>
      <w:hyperlink r:id="rId21" w:history="1">
        <w:r w:rsidRPr="00CD6772">
          <w:rPr>
            <w:rStyle w:val="Hyperlink"/>
          </w:rPr>
          <w:t>https://www.cnwl.nhs.uk/services/community-services/harrow-school-health-service</w:t>
        </w:r>
      </w:hyperlink>
    </w:p>
  </w:endnote>
  <w:endnote w:id="22">
    <w:p w14:paraId="1A910F8F" w14:textId="77777777" w:rsidR="00AE6977" w:rsidRDefault="00AE6977" w:rsidP="00837E4E">
      <w:pPr>
        <w:pStyle w:val="EndnoteText"/>
      </w:pPr>
      <w:r>
        <w:rPr>
          <w:rStyle w:val="EndnoteReference"/>
        </w:rPr>
        <w:endnoteRef/>
      </w:r>
      <w:r>
        <w:t xml:space="preserve"> NHS England and NHS Improvement. COVID-19 Prioritisation within Community Health Services. Available here: </w:t>
      </w:r>
      <w:hyperlink r:id="rId22" w:history="1">
        <w:r w:rsidRPr="00237218">
          <w:rPr>
            <w:rStyle w:val="Hyperlink"/>
          </w:rPr>
          <w:t>https://www.england.nhs.uk/coronavirus/wp-content/uploads/sites/52/2020/03/C0145-COVID-19-prioritisation-within-community-health-services-1-April-2020.pdf</w:t>
        </w:r>
      </w:hyperlink>
      <w:r>
        <w:t xml:space="preserve"> </w:t>
      </w:r>
    </w:p>
  </w:endnote>
  <w:endnote w:id="23">
    <w:p w14:paraId="1A910F90" w14:textId="77777777" w:rsidR="00AE6977" w:rsidRDefault="00AE6977" w:rsidP="004C4D76">
      <w:pPr>
        <w:pStyle w:val="EndnoteText"/>
      </w:pPr>
      <w:r>
        <w:rPr>
          <w:rStyle w:val="EndnoteReference"/>
        </w:rPr>
        <w:endnoteRef/>
      </w:r>
      <w:r>
        <w:t xml:space="preserve"> NHS England. About mental health. Available here: </w:t>
      </w:r>
      <w:hyperlink r:id="rId23" w:history="1">
        <w:r w:rsidRPr="00B542D7">
          <w:rPr>
            <w:rStyle w:val="Hyperlink"/>
          </w:rPr>
          <w:t>https://england.nhs.uk/mental-health/about/</w:t>
        </w:r>
      </w:hyperlink>
      <w:r>
        <w:t xml:space="preserve"> </w:t>
      </w:r>
    </w:p>
  </w:endnote>
  <w:endnote w:id="24">
    <w:p w14:paraId="1A910F91" w14:textId="77777777" w:rsidR="00AE6977" w:rsidRDefault="00AE6977" w:rsidP="004C4D76">
      <w:pPr>
        <w:pStyle w:val="EndnoteText"/>
      </w:pPr>
      <w:r>
        <w:rPr>
          <w:rStyle w:val="EndnoteReference"/>
        </w:rPr>
        <w:endnoteRef/>
      </w:r>
      <w:r>
        <w:t xml:space="preserve"> NHS Digital. Mental Health and Wellbeing in England. Adult Psychiatric Morbidity Survey 2014. Available here: </w:t>
      </w:r>
      <w:hyperlink r:id="rId24" w:history="1">
        <w:r w:rsidRPr="00632B23">
          <w:rPr>
            <w:rStyle w:val="Hyperlink"/>
          </w:rPr>
          <w:t>https://files.digital.nhs.uk/pdf/q/3/mental_health_and_wellbeing_in_england_full_report.pdf</w:t>
        </w:r>
      </w:hyperlink>
    </w:p>
  </w:endnote>
  <w:endnote w:id="25">
    <w:p w14:paraId="1A910F92" w14:textId="77777777" w:rsidR="00AE6977" w:rsidRDefault="00AE6977" w:rsidP="004C4D76">
      <w:pPr>
        <w:pStyle w:val="EndnoteText"/>
      </w:pPr>
      <w:r>
        <w:rPr>
          <w:rStyle w:val="EndnoteReference"/>
        </w:rPr>
        <w:endnoteRef/>
      </w:r>
      <w:r>
        <w:t xml:space="preserve"> NHS Digital. </w:t>
      </w:r>
      <w:r w:rsidRPr="00922923">
        <w:t>Mental Health of Children and Young People in England, 2017 [PAS]</w:t>
      </w:r>
      <w:r>
        <w:t xml:space="preserve">. Available here: </w:t>
      </w:r>
      <w:hyperlink r:id="rId25" w:history="1">
        <w:r w:rsidRPr="00B9332C">
          <w:rPr>
            <w:rStyle w:val="Hyperlink"/>
          </w:rPr>
          <w:t>https://digital.nhs.uk/data-and-information/publications/statistical/mental-health-of-children-and-young-people-in-england/2017/2017</w:t>
        </w:r>
      </w:hyperlink>
    </w:p>
  </w:endnote>
  <w:endnote w:id="26">
    <w:p w14:paraId="1A910F93" w14:textId="77777777" w:rsidR="00AE6977" w:rsidRPr="00F87B3B" w:rsidRDefault="00AE6977" w:rsidP="004C4D76">
      <w:pPr>
        <w:autoSpaceDE w:val="0"/>
        <w:autoSpaceDN w:val="0"/>
        <w:adjustRightInd w:val="0"/>
        <w:spacing w:after="0" w:line="240" w:lineRule="auto"/>
        <w:rPr>
          <w:rFonts w:cs="Arial"/>
          <w:sz w:val="20"/>
          <w:szCs w:val="20"/>
          <w:lang w:eastAsia="en-GB"/>
        </w:rPr>
      </w:pPr>
      <w:r w:rsidRPr="004A5F4E">
        <w:rPr>
          <w:rStyle w:val="EndnoteReference"/>
          <w:rFonts w:cs="Arial"/>
          <w:sz w:val="20"/>
          <w:szCs w:val="20"/>
        </w:rPr>
        <w:endnoteRef/>
      </w:r>
      <w:r w:rsidRPr="004A5F4E">
        <w:rPr>
          <w:rFonts w:cs="Arial"/>
          <w:sz w:val="20"/>
          <w:szCs w:val="20"/>
        </w:rPr>
        <w:t xml:space="preserve"> </w:t>
      </w:r>
      <w:r w:rsidRPr="00F87B3B">
        <w:rPr>
          <w:rFonts w:cs="Arial"/>
          <w:sz w:val="20"/>
          <w:szCs w:val="20"/>
          <w:lang w:eastAsia="en-GB"/>
        </w:rPr>
        <w:t>Richards M, Abbott, R, Collis G et al (2009). Childhood mental health and life chances in post-war Britain:</w:t>
      </w:r>
    </w:p>
    <w:p w14:paraId="1A910F94" w14:textId="77777777" w:rsidR="00AE6977" w:rsidRPr="00617FDC" w:rsidRDefault="00AE6977" w:rsidP="004C4D76">
      <w:pPr>
        <w:autoSpaceDE w:val="0"/>
        <w:autoSpaceDN w:val="0"/>
        <w:adjustRightInd w:val="0"/>
        <w:spacing w:after="0" w:line="240" w:lineRule="auto"/>
        <w:rPr>
          <w:rFonts w:ascii="Arial" w:hAnsi="Arial" w:cs="Arial"/>
          <w:sz w:val="16"/>
          <w:szCs w:val="16"/>
          <w:lang w:eastAsia="en-GB"/>
        </w:rPr>
      </w:pPr>
      <w:r w:rsidRPr="00F87B3B">
        <w:rPr>
          <w:rFonts w:cs="Arial"/>
          <w:sz w:val="20"/>
          <w:szCs w:val="20"/>
          <w:lang w:eastAsia="en-GB"/>
        </w:rPr>
        <w:t xml:space="preserve">insights from three national birth cohort studies. London: SCMH/The Smith Institute/Unison &amp; MRC. Available here: </w:t>
      </w:r>
      <w:hyperlink r:id="rId26" w:history="1">
        <w:r w:rsidRPr="00953D09">
          <w:rPr>
            <w:rStyle w:val="Hyperlink"/>
            <w:rFonts w:cs="Arial"/>
            <w:sz w:val="20"/>
            <w:szCs w:val="20"/>
            <w:lang w:eastAsia="en-GB"/>
          </w:rPr>
          <w:t>https://www.scmh.org.uk/publications/life_chances.aspx?ID=596</w:t>
        </w:r>
      </w:hyperlink>
      <w:r>
        <w:rPr>
          <w:rStyle w:val="Hyperlink"/>
          <w:rFonts w:cs="Arial"/>
          <w:lang w:eastAsia="en-GB"/>
        </w:rPr>
        <w:t xml:space="preserve"> </w:t>
      </w:r>
    </w:p>
  </w:endnote>
  <w:endnote w:id="27">
    <w:p w14:paraId="1A910F95" w14:textId="77777777" w:rsidR="00AE6977" w:rsidRDefault="00AE6977" w:rsidP="004C4D76">
      <w:pPr>
        <w:pStyle w:val="EndnoteText"/>
      </w:pPr>
      <w:r>
        <w:rPr>
          <w:rStyle w:val="EndnoteReference"/>
        </w:rPr>
        <w:endnoteRef/>
      </w:r>
      <w:r>
        <w:t xml:space="preserve"> NICE. Mental wellbeing of older people in residential care. Available here: </w:t>
      </w:r>
      <w:hyperlink r:id="rId27" w:history="1">
        <w:r w:rsidRPr="00B542D7">
          <w:rPr>
            <w:rStyle w:val="Hyperlink"/>
          </w:rPr>
          <w:t>https://nice.org.uk/guidance/qs50/documents/mental-wellbeing-of-older-people-in-care-homes-briefing-paper2</w:t>
        </w:r>
      </w:hyperlink>
      <w:r>
        <w:t xml:space="preserve"> </w:t>
      </w:r>
    </w:p>
  </w:endnote>
  <w:endnote w:id="28">
    <w:p w14:paraId="1A910F96" w14:textId="77777777" w:rsidR="00AE6977" w:rsidRDefault="00AE6977" w:rsidP="004C4D76">
      <w:pPr>
        <w:pStyle w:val="EndnoteText"/>
      </w:pPr>
      <w:r>
        <w:rPr>
          <w:rStyle w:val="EndnoteReference"/>
        </w:rPr>
        <w:endnoteRef/>
      </w:r>
      <w:r>
        <w:t xml:space="preserve"> Mental Health Foundation. Fundamental Facts About Mental Health 2016. Available here: </w:t>
      </w:r>
      <w:hyperlink r:id="rId28" w:history="1">
        <w:r>
          <w:rPr>
            <w:rStyle w:val="Hyperlink"/>
          </w:rPr>
          <w:t>https://www.mentalhealth.org.uk/publications/fundamental-facts-about-mental-health-2016</w:t>
        </w:r>
      </w:hyperlink>
    </w:p>
  </w:endnote>
  <w:endnote w:id="29">
    <w:p w14:paraId="1A910F97" w14:textId="77777777" w:rsidR="00AE6977" w:rsidRDefault="00AE6977" w:rsidP="004C4D76">
      <w:pPr>
        <w:pStyle w:val="EndnoteText"/>
      </w:pPr>
      <w:r>
        <w:rPr>
          <w:rStyle w:val="EndnoteReference"/>
        </w:rPr>
        <w:endnoteRef/>
      </w:r>
      <w:r>
        <w:t xml:space="preserve"> WHO. Promoting Mental Health: concepts, emerging evidence, practice: summary report. Available here: </w:t>
      </w:r>
      <w:hyperlink r:id="rId29" w:history="1">
        <w:r w:rsidRPr="00B542D7">
          <w:rPr>
            <w:rStyle w:val="Hyperlink"/>
          </w:rPr>
          <w:t>https://who.int/mental_health/evidence/en/promoting_mhh.pdf</w:t>
        </w:r>
      </w:hyperlink>
      <w:r>
        <w:t xml:space="preserve"> </w:t>
      </w:r>
    </w:p>
  </w:endnote>
  <w:endnote w:id="30">
    <w:p w14:paraId="1A910F98" w14:textId="77777777" w:rsidR="00AE6977" w:rsidRDefault="00AE6977" w:rsidP="004C4D76">
      <w:pPr>
        <w:pStyle w:val="EndnoteText"/>
      </w:pPr>
      <w:r>
        <w:rPr>
          <w:rStyle w:val="EndnoteReference"/>
        </w:rPr>
        <w:endnoteRef/>
      </w:r>
      <w:r>
        <w:t xml:space="preserve"> The Academy of Medical Sciences. Survey results: Understanding people’s concerns about the mental health impacts of the COVID-19 pandemic. Available here: </w:t>
      </w:r>
      <w:hyperlink r:id="rId30" w:tgtFrame="_blank" w:history="1">
        <w:r w:rsidRPr="006E1923">
          <w:rPr>
            <w:rStyle w:val="Hyperlink"/>
          </w:rPr>
          <w:t>http://www.acmedsci.ac.uk/COVIDmentalhealthsurveys</w:t>
        </w:r>
      </w:hyperlink>
    </w:p>
  </w:endnote>
  <w:endnote w:id="31">
    <w:p w14:paraId="1A910F99" w14:textId="77777777" w:rsidR="00AE6977" w:rsidRDefault="00AE6977" w:rsidP="004C4D76">
      <w:pPr>
        <w:pStyle w:val="EndnoteText"/>
      </w:pPr>
      <w:r>
        <w:rPr>
          <w:rStyle w:val="EndnoteReference"/>
        </w:rPr>
        <w:endnoteRef/>
      </w:r>
      <w:r>
        <w:t xml:space="preserve"> King’s College London and Ipsos MORI. Life under lockdown: coronavirus in the UK. Available here: </w:t>
      </w:r>
      <w:hyperlink r:id="rId31" w:history="1">
        <w:r>
          <w:rPr>
            <w:rStyle w:val="Hyperlink"/>
          </w:rPr>
          <w:t>https://www.kcl.ac.uk/news/life-under-lockdown-coronavirus-in-the-uk</w:t>
        </w:r>
      </w:hyperlink>
    </w:p>
  </w:endnote>
  <w:endnote w:id="32">
    <w:p w14:paraId="1A910F9A" w14:textId="77777777" w:rsidR="00AE6977" w:rsidRDefault="00AE6977" w:rsidP="004C4D76">
      <w:pPr>
        <w:pStyle w:val="EndnoteText"/>
      </w:pPr>
      <w:r>
        <w:rPr>
          <w:rStyle w:val="EndnoteReference"/>
        </w:rPr>
        <w:endnoteRef/>
      </w:r>
      <w:r>
        <w:t xml:space="preserve"> Mind. Mental health charity Mind finds that nearly a quarter of people have not been able to access mental health services in the last two weeks. Available here: </w:t>
      </w:r>
      <w:hyperlink r:id="rId32" w:history="1">
        <w:r w:rsidRPr="00B542D7">
          <w:rPr>
            <w:rStyle w:val="Hyperlink"/>
          </w:rPr>
          <w:t>https://mind.org.uk/news-campaigns/news/mental-health-charity-mind-finds-that-nearly-a-quarter-of-people-have-not-been-able-to-access-mental-health-services-in-the-last-two-weeks/</w:t>
        </w:r>
      </w:hyperlink>
      <w:r>
        <w:t xml:space="preserve"> </w:t>
      </w:r>
    </w:p>
  </w:endnote>
  <w:endnote w:id="33">
    <w:p w14:paraId="1A910F9B" w14:textId="77777777" w:rsidR="00AE6977" w:rsidRDefault="00AE6977" w:rsidP="004C4D76">
      <w:pPr>
        <w:pStyle w:val="EndnoteText"/>
      </w:pPr>
      <w:r>
        <w:rPr>
          <w:rStyle w:val="EndnoteReference"/>
        </w:rPr>
        <w:endnoteRef/>
      </w:r>
      <w:r>
        <w:t xml:space="preserve"> Mind. Loneliness. Available here: </w:t>
      </w:r>
      <w:hyperlink r:id="rId33" w:history="1">
        <w:r>
          <w:rPr>
            <w:rStyle w:val="Hyperlink"/>
          </w:rPr>
          <w:t>https://www.mind.org.uk/information-support/tips-for-everyday-living/loneliness/about-loneliness/</w:t>
        </w:r>
      </w:hyperlink>
    </w:p>
  </w:endnote>
  <w:endnote w:id="34">
    <w:p w14:paraId="1A910F9C" w14:textId="77777777" w:rsidR="00AE6977" w:rsidRDefault="00AE6977" w:rsidP="004C4D76">
      <w:pPr>
        <w:pStyle w:val="EndnoteText"/>
      </w:pPr>
      <w:r>
        <w:rPr>
          <w:rStyle w:val="EndnoteReference"/>
        </w:rPr>
        <w:endnoteRef/>
      </w:r>
      <w:r>
        <w:t xml:space="preserve"> Campaign to End Loneliness. Risk to health. Available here: </w:t>
      </w:r>
      <w:hyperlink r:id="rId34" w:history="1">
        <w:r>
          <w:rPr>
            <w:rStyle w:val="Hyperlink"/>
          </w:rPr>
          <w:t>https://www.campaigntoendloneliness.org/threat-to-health/</w:t>
        </w:r>
      </w:hyperlink>
    </w:p>
  </w:endnote>
  <w:endnote w:id="35">
    <w:p w14:paraId="1A910F9D" w14:textId="77777777" w:rsidR="00AE6977" w:rsidRDefault="00AE6977" w:rsidP="004C4D76">
      <w:pPr>
        <w:pStyle w:val="EndnoteText"/>
      </w:pPr>
      <w:r>
        <w:rPr>
          <w:rStyle w:val="EndnoteReference"/>
        </w:rPr>
        <w:endnoteRef/>
      </w:r>
      <w:r>
        <w:t xml:space="preserve"> Mental Health Foundation. Loneliness during coronavirus. Available here: </w:t>
      </w:r>
      <w:hyperlink r:id="rId35" w:history="1">
        <w:r>
          <w:rPr>
            <w:rStyle w:val="Hyperlink"/>
          </w:rPr>
          <w:t>https://www.mentalhealth.org.uk/coronavirus/coping-with-loneliness</w:t>
        </w:r>
      </w:hyperlink>
    </w:p>
  </w:endnote>
  <w:endnote w:id="36">
    <w:p w14:paraId="1A910F9E" w14:textId="77777777" w:rsidR="00AE6977" w:rsidRDefault="00AE6977" w:rsidP="004C4D76">
      <w:pPr>
        <w:pStyle w:val="EndnoteText"/>
      </w:pPr>
      <w:r>
        <w:rPr>
          <w:rStyle w:val="EndnoteReference"/>
        </w:rPr>
        <w:endnoteRef/>
      </w:r>
      <w:r>
        <w:t xml:space="preserve"> Patient. COVID-19: how to cope with loneliness during the coronavirus pandemic. Available here: </w:t>
      </w:r>
      <w:hyperlink r:id="rId36" w:history="1">
        <w:r>
          <w:rPr>
            <w:rStyle w:val="Hyperlink"/>
          </w:rPr>
          <w:t>https://patient.info/news-and-features/covid-19-how-to-cope-with-loneliness-during-the-coronavirus-pandemic</w:t>
        </w:r>
      </w:hyperlink>
    </w:p>
  </w:endnote>
  <w:endnote w:id="37">
    <w:p w14:paraId="1A910F9F" w14:textId="77777777" w:rsidR="00AE6977" w:rsidRDefault="00AE6977" w:rsidP="004C4D76">
      <w:pPr>
        <w:pStyle w:val="EndnoteText"/>
      </w:pPr>
      <w:r>
        <w:rPr>
          <w:rStyle w:val="EndnoteReference"/>
        </w:rPr>
        <w:endnoteRef/>
      </w:r>
      <w:r>
        <w:t xml:space="preserve"> Let’s Talk Loneliness. Government launches plan to tackle loneliness during coronavirus lockdown. Available here: </w:t>
      </w:r>
      <w:hyperlink r:id="rId37" w:history="1">
        <w:r w:rsidRPr="00BC6641">
          <w:rPr>
            <w:rStyle w:val="Hyperlink"/>
          </w:rPr>
          <w:t>https://www.letstalkloneliness.co.uk/new-government-launches-plan-to-tackle-loneliness-during-coronavirus-lockdown/</w:t>
        </w:r>
      </w:hyperlink>
      <w:r>
        <w:t xml:space="preserve"> </w:t>
      </w:r>
    </w:p>
  </w:endnote>
  <w:endnote w:id="38">
    <w:p w14:paraId="1A910FA0" w14:textId="77777777" w:rsidR="00AE6977" w:rsidRDefault="00AE6977" w:rsidP="004C4D76">
      <w:pPr>
        <w:pStyle w:val="EndnoteText"/>
      </w:pPr>
      <w:r>
        <w:rPr>
          <w:rStyle w:val="EndnoteReference"/>
        </w:rPr>
        <w:endnoteRef/>
      </w:r>
      <w:r>
        <w:t xml:space="preserve"> Mind. Bereavement. Available here: </w:t>
      </w:r>
      <w:hyperlink r:id="rId38" w:history="1">
        <w:r w:rsidRPr="006F1883">
          <w:rPr>
            <w:rStyle w:val="Hyperlink"/>
          </w:rPr>
          <w:t>https://www.mind.org.uk/information-support/guides-to-support-and-services/bereavement</w:t>
        </w:r>
      </w:hyperlink>
    </w:p>
  </w:endnote>
  <w:endnote w:id="39">
    <w:p w14:paraId="1A910FA1" w14:textId="77777777" w:rsidR="00AE6977" w:rsidRDefault="00AE6977" w:rsidP="004C4D76">
      <w:pPr>
        <w:pStyle w:val="EndnoteText"/>
      </w:pPr>
      <w:r>
        <w:rPr>
          <w:rStyle w:val="EndnoteReference"/>
        </w:rPr>
        <w:endnoteRef/>
      </w:r>
      <w:r>
        <w:t xml:space="preserve"> Royal College of Psychiatrists. Bereavement. Available here: </w:t>
      </w:r>
      <w:hyperlink r:id="rId39" w:history="1">
        <w:r w:rsidRPr="006F1883">
          <w:rPr>
            <w:rStyle w:val="Hyperlink"/>
          </w:rPr>
          <w:t>https://www.rcpsych.ac.uk/mental-health/problems-disorders/bereavement</w:t>
        </w:r>
      </w:hyperlink>
      <w:r>
        <w:t xml:space="preserve"> </w:t>
      </w:r>
    </w:p>
  </w:endnote>
  <w:endnote w:id="40">
    <w:p w14:paraId="1A910FA2" w14:textId="77777777" w:rsidR="00AE6977" w:rsidRDefault="00AE6977" w:rsidP="004C4D76">
      <w:pPr>
        <w:pStyle w:val="EndnoteText"/>
      </w:pPr>
      <w:r>
        <w:rPr>
          <w:rStyle w:val="EndnoteReference"/>
        </w:rPr>
        <w:endnoteRef/>
      </w:r>
      <w:r>
        <w:t xml:space="preserve"> ONS. Death registrations and occurrence by local authority and health board. Available here: </w:t>
      </w:r>
      <w:hyperlink r:id="rId40" w:history="1">
        <w:r w:rsidRPr="00324D91">
          <w:rPr>
            <w:rStyle w:val="Hyperlink"/>
          </w:rPr>
          <w:t>https://www.ons.gov.uk/peoplepopulationandcommunity/healthandsocialcare/causesofdeath/datasets/deathregistrationsandoccurrencesbylocalauthorityandhealthboard</w:t>
        </w:r>
      </w:hyperlink>
    </w:p>
  </w:endnote>
  <w:endnote w:id="41">
    <w:p w14:paraId="1A910FA3" w14:textId="77777777" w:rsidR="00AE6977" w:rsidRDefault="00AE6977" w:rsidP="004C4D76">
      <w:pPr>
        <w:pStyle w:val="EndnoteText"/>
      </w:pPr>
      <w:r>
        <w:rPr>
          <w:rStyle w:val="EndnoteReference"/>
        </w:rPr>
        <w:endnoteRef/>
      </w:r>
      <w:r>
        <w:t xml:space="preserve"> The British Psychological Society. Supporting yourself and others: coping with death and grief during the Covid-19 pandemic. Available here: </w:t>
      </w:r>
      <w:hyperlink r:id="rId41" w:history="1">
        <w:r w:rsidRPr="00D06792">
          <w:rPr>
            <w:rStyle w:val="Hyperlink"/>
            <w:lang w:val="en"/>
          </w:rPr>
          <w:t>https://www.bps.org.uk/sites/www.bps.org.uk/files/Policy/Policy%20-%20Files/Supporting%20yourself%20and%20others.pdf</w:t>
        </w:r>
      </w:hyperlink>
    </w:p>
  </w:endnote>
  <w:endnote w:id="42">
    <w:p w14:paraId="1A910FA4" w14:textId="77777777" w:rsidR="00AE6977" w:rsidRDefault="00AE6977" w:rsidP="004C4D76">
      <w:pPr>
        <w:pStyle w:val="EndnoteText"/>
      </w:pPr>
      <w:r>
        <w:rPr>
          <w:rStyle w:val="EndnoteReference"/>
        </w:rPr>
        <w:endnoteRef/>
      </w:r>
      <w:r>
        <w:t xml:space="preserve"> Child Bereavement UK. Supporting bereaved children and young people. Available here: </w:t>
      </w:r>
      <w:hyperlink r:id="rId42" w:history="1">
        <w:r w:rsidRPr="006F1883">
          <w:rPr>
            <w:rStyle w:val="Hyperlink"/>
          </w:rPr>
          <w:t>https://www.childbereavementuk.org/supporting-bereaved-children-and-young-people</w:t>
        </w:r>
      </w:hyperlink>
      <w:r>
        <w:t xml:space="preserve"> </w:t>
      </w:r>
    </w:p>
  </w:endnote>
  <w:endnote w:id="43">
    <w:p w14:paraId="1A910FA5" w14:textId="77777777" w:rsidR="00AE6977" w:rsidRDefault="00AE6977" w:rsidP="004C4D76">
      <w:pPr>
        <w:pStyle w:val="EndnoteText"/>
      </w:pPr>
      <w:r>
        <w:rPr>
          <w:rStyle w:val="EndnoteReference"/>
        </w:rPr>
        <w:endnoteRef/>
      </w:r>
      <w:r>
        <w:t xml:space="preserve"> Cruse Bereavement Care. How to help a child or young person. Available here: </w:t>
      </w:r>
      <w:hyperlink r:id="rId43" w:history="1">
        <w:r w:rsidRPr="006F1883">
          <w:rPr>
            <w:rStyle w:val="Hyperlink"/>
          </w:rPr>
          <w:t>https://www.cruse.org.uk/get-help/for-parents/how-to-help-a-child-or-young-person</w:t>
        </w:r>
      </w:hyperlink>
      <w:r>
        <w:t xml:space="preserve"> </w:t>
      </w:r>
    </w:p>
  </w:endnote>
  <w:endnote w:id="44">
    <w:p w14:paraId="1A910FA6" w14:textId="77777777" w:rsidR="00AE6977" w:rsidRDefault="00AE6977" w:rsidP="004C4D76">
      <w:pPr>
        <w:pStyle w:val="EndnoteText"/>
      </w:pPr>
      <w:r>
        <w:rPr>
          <w:rStyle w:val="EndnoteReference"/>
        </w:rPr>
        <w:endnoteRef/>
      </w:r>
      <w:r>
        <w:t xml:space="preserve"> Home Office. Domestic abuse: how to get help. Available here: </w:t>
      </w:r>
      <w:hyperlink r:id="rId44" w:history="1">
        <w:r w:rsidRPr="00953D09">
          <w:rPr>
            <w:rStyle w:val="Hyperlink"/>
          </w:rPr>
          <w:t>https://www.gov.uk/guidance/domestic-abuse-how-to-get-help</w:t>
        </w:r>
      </w:hyperlink>
      <w:r>
        <w:t xml:space="preserve"> </w:t>
      </w:r>
    </w:p>
  </w:endnote>
  <w:endnote w:id="45">
    <w:p w14:paraId="1A910FA7" w14:textId="77777777" w:rsidR="00AE6977" w:rsidRDefault="00AE6977" w:rsidP="004C4D76">
      <w:pPr>
        <w:pStyle w:val="EndnoteText"/>
      </w:pPr>
      <w:r>
        <w:rPr>
          <w:rStyle w:val="EndnoteReference"/>
        </w:rPr>
        <w:endnoteRef/>
      </w:r>
      <w:r>
        <w:t xml:space="preserve"> Women’s aid. What is domestic abuse? Available here: </w:t>
      </w:r>
      <w:hyperlink r:id="rId45" w:history="1">
        <w:r w:rsidRPr="00953D09">
          <w:rPr>
            <w:rStyle w:val="Hyperlink"/>
          </w:rPr>
          <w:t>https://www.womensaid.org.uk/information-support/what-is-domestic-abuse/</w:t>
        </w:r>
      </w:hyperlink>
      <w:r>
        <w:t xml:space="preserve"> </w:t>
      </w:r>
    </w:p>
  </w:endnote>
  <w:endnote w:id="46">
    <w:p w14:paraId="1A910FA8" w14:textId="77777777" w:rsidR="00AE6977" w:rsidRDefault="00AE6977" w:rsidP="004C4D76">
      <w:pPr>
        <w:pStyle w:val="EndnoteText"/>
      </w:pPr>
      <w:r>
        <w:rPr>
          <w:rStyle w:val="EndnoteReference"/>
        </w:rPr>
        <w:endnoteRef/>
      </w:r>
      <w:r>
        <w:t xml:space="preserve"> Refuge. Recognising abuse. Available here: </w:t>
      </w:r>
      <w:hyperlink r:id="rId46" w:history="1">
        <w:r w:rsidRPr="00953D09">
          <w:rPr>
            <w:rStyle w:val="Hyperlink"/>
          </w:rPr>
          <w:t>https://www.refuge.org.uk/get-help-now/recognising-abuse/</w:t>
        </w:r>
      </w:hyperlink>
      <w:r>
        <w:t xml:space="preserve"> </w:t>
      </w:r>
    </w:p>
  </w:endnote>
  <w:endnote w:id="47">
    <w:p w14:paraId="1A910FA9" w14:textId="77777777" w:rsidR="00AE6977" w:rsidRDefault="00AE6977" w:rsidP="004C4D76">
      <w:pPr>
        <w:pStyle w:val="EndnoteText"/>
      </w:pPr>
      <w:r>
        <w:rPr>
          <w:rStyle w:val="EndnoteReference"/>
        </w:rPr>
        <w:endnoteRef/>
      </w:r>
      <w:r>
        <w:t xml:space="preserve"> Reducing the Risk of Domestic Abuse. Identifying risk factors. Available here: </w:t>
      </w:r>
      <w:hyperlink r:id="rId47" w:history="1">
        <w:r w:rsidRPr="00953D09">
          <w:rPr>
            <w:rStyle w:val="Hyperlink"/>
          </w:rPr>
          <w:t>https://www.reducingtherisk.org.uk/cms/content/identifying-risk-indicators</w:t>
        </w:r>
      </w:hyperlink>
      <w:r>
        <w:t xml:space="preserve"> </w:t>
      </w:r>
    </w:p>
  </w:endnote>
  <w:endnote w:id="48">
    <w:p w14:paraId="1A910FAA" w14:textId="77777777" w:rsidR="00AE6977" w:rsidRDefault="00AE6977" w:rsidP="004C4D76">
      <w:pPr>
        <w:pStyle w:val="EndnoteText"/>
      </w:pPr>
      <w:r>
        <w:rPr>
          <w:rStyle w:val="EndnoteReference"/>
        </w:rPr>
        <w:endnoteRef/>
      </w:r>
      <w:r>
        <w:t xml:space="preserve"> ONS. Domestic abuse in England and Wales overview: November 2019. Available here: </w:t>
      </w:r>
      <w:hyperlink r:id="rId48" w:history="1">
        <w:r w:rsidRPr="00953D09">
          <w:rPr>
            <w:rStyle w:val="Hyperlink"/>
          </w:rPr>
          <w:t>https://www.ons.gov.uk/peoplepopulationandcommunity/crimeandjustice/bulletins/domesticabuseinenglandandwalesoverview/november2019</w:t>
        </w:r>
      </w:hyperlink>
      <w:r>
        <w:t xml:space="preserve"> </w:t>
      </w:r>
    </w:p>
  </w:endnote>
  <w:endnote w:id="49">
    <w:p w14:paraId="1A910FAB" w14:textId="77777777" w:rsidR="00AE6977" w:rsidRDefault="00AE6977" w:rsidP="004C4D76">
      <w:pPr>
        <w:pStyle w:val="EndnoteText"/>
      </w:pPr>
      <w:r>
        <w:rPr>
          <w:rStyle w:val="EndnoteReference"/>
        </w:rPr>
        <w:endnoteRef/>
      </w:r>
      <w:r>
        <w:t xml:space="preserve"> House of Commons Home Affairs Committee. Home Office preparedness for Covid-19 (Coronavirus): domestic abuse and risks of harm within the home. Available here: </w:t>
      </w:r>
      <w:hyperlink r:id="rId49" w:history="1">
        <w:r>
          <w:rPr>
            <w:rStyle w:val="Hyperlink"/>
          </w:rPr>
          <w:t>https://publications.parliament.uk/pa/cm5801/cmselect/cmhaff/321/321.pdf</w:t>
        </w:r>
      </w:hyperlink>
    </w:p>
  </w:endnote>
  <w:endnote w:id="50">
    <w:p w14:paraId="1A910FAC" w14:textId="77777777" w:rsidR="00AE6977" w:rsidRDefault="00AE6977" w:rsidP="004C4D76">
      <w:pPr>
        <w:pStyle w:val="EndnoteText"/>
      </w:pPr>
      <w:r>
        <w:rPr>
          <w:rStyle w:val="EndnoteReference"/>
        </w:rPr>
        <w:endnoteRef/>
      </w:r>
      <w:r>
        <w:t xml:space="preserve"> NSPCC. What children are saying to Childline about coronavirus. Available here: </w:t>
      </w:r>
      <w:hyperlink r:id="rId50" w:history="1">
        <w:r>
          <w:rPr>
            <w:rStyle w:val="Hyperlink"/>
          </w:rPr>
          <w:t>https://learning.nspcc.org.uk/media/2195/what-children-are-saying-to-childline-about-coronavirus.pdf</w:t>
        </w:r>
      </w:hyperlink>
    </w:p>
  </w:endnote>
  <w:endnote w:id="51">
    <w:p w14:paraId="1A910FAD" w14:textId="77777777" w:rsidR="00AE6977" w:rsidRDefault="00AE6977" w:rsidP="004C4D76">
      <w:pPr>
        <w:pStyle w:val="EndnoteText"/>
      </w:pPr>
      <w:r>
        <w:rPr>
          <w:rStyle w:val="EndnoteReference"/>
        </w:rPr>
        <w:endnoteRef/>
      </w:r>
      <w:r>
        <w:t xml:space="preserve"> Hestia. Campaign launches safe space in Boots stores for victims of domestic abuse across the UK. Available here: </w:t>
      </w:r>
      <w:hyperlink r:id="rId51" w:history="1">
        <w:r w:rsidRPr="00953D09">
          <w:rPr>
            <w:rStyle w:val="Hyperlink"/>
          </w:rPr>
          <w:t>https://www.hestia.org/news/press-release-campaign-launches-safe-space-in-boots-stores-for-victims-of-domestic-abuse-across-the-uk</w:t>
        </w:r>
      </w:hyperlink>
    </w:p>
  </w:endnote>
  <w:endnote w:id="52">
    <w:p w14:paraId="1A910FAE" w14:textId="77777777" w:rsidR="00AE6977" w:rsidRDefault="00AE6977" w:rsidP="004C4D76">
      <w:pPr>
        <w:pStyle w:val="EndnoteText"/>
      </w:pPr>
      <w:r>
        <w:rPr>
          <w:rStyle w:val="EndnoteReference"/>
        </w:rPr>
        <w:endnoteRef/>
      </w:r>
      <w:r>
        <w:t xml:space="preserve"> Hestia. Superdrug joins Safe Spaces scheme for victims of domestic abuse. Available here: </w:t>
      </w:r>
      <w:hyperlink r:id="rId52" w:history="1">
        <w:r w:rsidRPr="00953D09">
          <w:rPr>
            <w:rStyle w:val="Hyperlink"/>
          </w:rPr>
          <w:t>https://www.hestia.org/news/superdrug-join-safe-spaces-scheme-for-victims-of-domestic-abuse-almost-a-quarter-of-all-uk-pharmacies-now-taking-part</w:t>
        </w:r>
      </w:hyperlink>
      <w:r>
        <w:t xml:space="preserve"> </w:t>
      </w:r>
    </w:p>
  </w:endnote>
  <w:endnote w:id="53">
    <w:p w14:paraId="1A910FAF" w14:textId="77777777" w:rsidR="00AE6977" w:rsidRDefault="00AE6977" w:rsidP="004C4D76">
      <w:pPr>
        <w:pStyle w:val="EndnoteText"/>
      </w:pPr>
      <w:r>
        <w:rPr>
          <w:rStyle w:val="EndnoteReference"/>
        </w:rPr>
        <w:endnoteRef/>
      </w:r>
      <w:r>
        <w:t xml:space="preserve"> Hestia. Morrisons opens Safe Spaces for those experiencing domestic abuse. Available here: </w:t>
      </w:r>
      <w:hyperlink r:id="rId53" w:history="1">
        <w:r w:rsidRPr="00953D09">
          <w:rPr>
            <w:rStyle w:val="Hyperlink"/>
          </w:rPr>
          <w:t>https://www.hestia.org/news/morrisons-opens-safe-spaces-for-those-experiencing-domestic-abuse</w:t>
        </w:r>
      </w:hyperlink>
      <w:r>
        <w:t xml:space="preserve"> </w:t>
      </w:r>
    </w:p>
  </w:endnote>
  <w:endnote w:id="54">
    <w:p w14:paraId="1A910FB0" w14:textId="77777777" w:rsidR="00AE6977" w:rsidRDefault="00AE6977" w:rsidP="004C4D76">
      <w:pPr>
        <w:pStyle w:val="EndnoteText"/>
      </w:pPr>
      <w:r>
        <w:rPr>
          <w:rStyle w:val="EndnoteReference"/>
        </w:rPr>
        <w:endnoteRef/>
      </w:r>
      <w:r>
        <w:t xml:space="preserve"> NHS. Obesity. Available here: </w:t>
      </w:r>
      <w:hyperlink r:id="rId54" w:history="1">
        <w:r w:rsidRPr="00953D09">
          <w:rPr>
            <w:rStyle w:val="Hyperlink"/>
          </w:rPr>
          <w:t>https://www.nhs.uk/conditions/obesity/</w:t>
        </w:r>
      </w:hyperlink>
      <w:r>
        <w:t xml:space="preserve"> </w:t>
      </w:r>
    </w:p>
  </w:endnote>
  <w:endnote w:id="55">
    <w:p w14:paraId="1A910FB1" w14:textId="77777777" w:rsidR="00AE6977" w:rsidRDefault="00AE6977" w:rsidP="004C4D76">
      <w:pPr>
        <w:pStyle w:val="EndnoteText"/>
      </w:pPr>
      <w:r>
        <w:rPr>
          <w:rStyle w:val="EndnoteReference"/>
        </w:rPr>
        <w:endnoteRef/>
      </w:r>
      <w:r>
        <w:t xml:space="preserve"> PHE. Public Health Outcomes Framework. Available here: </w:t>
      </w:r>
      <w:hyperlink r:id="rId55" w:anchor="page/0/gid/1000042/pat/6/par/E12000007/ati/202/are/E09000015/cid/4/page-options/ovw-do-0" w:history="1">
        <w:r w:rsidRPr="00953D09">
          <w:rPr>
            <w:rStyle w:val="Hyperlink"/>
          </w:rPr>
          <w:t>https://fingertips.phe.org.uk/public-health-outcomes-framework#page/0/gid/1000042/pat/6/par/E12000007/ati/202/are/E09000015/cid/4/page-options/ovw-do-0</w:t>
        </w:r>
      </w:hyperlink>
      <w:r>
        <w:t xml:space="preserve"> </w:t>
      </w:r>
    </w:p>
  </w:endnote>
  <w:endnote w:id="56">
    <w:p w14:paraId="1A910FB2" w14:textId="77777777" w:rsidR="00AE6977" w:rsidRDefault="00AE6977" w:rsidP="004C4D76">
      <w:pPr>
        <w:pStyle w:val="EndnoteText"/>
      </w:pPr>
      <w:r>
        <w:rPr>
          <w:rStyle w:val="EndnoteReference"/>
        </w:rPr>
        <w:endnoteRef/>
      </w:r>
      <w:r>
        <w:t xml:space="preserve"> Harrow Public Health. Harrow Obesity Needs Assessment 2020.</w:t>
      </w:r>
    </w:p>
  </w:endnote>
  <w:endnote w:id="57">
    <w:p w14:paraId="1A910FB3" w14:textId="77777777" w:rsidR="00AE6977" w:rsidRDefault="00AE6977" w:rsidP="004C4D76">
      <w:pPr>
        <w:pStyle w:val="EndnoteText"/>
      </w:pPr>
      <w:r>
        <w:rPr>
          <w:rStyle w:val="EndnoteReference"/>
        </w:rPr>
        <w:endnoteRef/>
      </w:r>
      <w:r>
        <w:t xml:space="preserve"> PHE. Everybody active, every day: an evidence-based approach to physical activity. Available here: </w:t>
      </w:r>
      <w:hyperlink r:id="rId56" w:history="1">
        <w:r w:rsidRPr="00953D09">
          <w:rPr>
            <w:rStyle w:val="Hyperlink"/>
          </w:rPr>
          <w:t>https://www.gov.uk/government/publications/everybody-active-every-day-a-framework-to-embed-physical-activity-into-daily-life</w:t>
        </w:r>
      </w:hyperlink>
      <w:r>
        <w:t xml:space="preserve"> </w:t>
      </w:r>
    </w:p>
  </w:endnote>
  <w:endnote w:id="58">
    <w:p w14:paraId="1A910FB4" w14:textId="77777777" w:rsidR="00AE6977" w:rsidRDefault="00AE6977" w:rsidP="004C4D76">
      <w:pPr>
        <w:pStyle w:val="EndnoteText"/>
      </w:pPr>
      <w:r>
        <w:rPr>
          <w:rStyle w:val="EndnoteReference"/>
        </w:rPr>
        <w:endnoteRef/>
      </w:r>
      <w:r>
        <w:t xml:space="preserve"> Department of Health and Social Care. UK Chief Medical Officer’s physical activity guidelines. Available here: </w:t>
      </w:r>
      <w:hyperlink r:id="rId57" w:history="1">
        <w:r w:rsidRPr="00953D09">
          <w:rPr>
            <w:rStyle w:val="Hyperlink"/>
          </w:rPr>
          <w:t>https://www.gov.uk/government/publications/physical-activity-guidelines-uk-chief-medical-officers-report</w:t>
        </w:r>
      </w:hyperlink>
      <w:r>
        <w:t xml:space="preserve"> </w:t>
      </w:r>
    </w:p>
  </w:endnote>
  <w:endnote w:id="59">
    <w:p w14:paraId="1A910FB5" w14:textId="77777777" w:rsidR="00AE6977" w:rsidRDefault="00AE6977" w:rsidP="004C4D76">
      <w:pPr>
        <w:pStyle w:val="EndnoteText"/>
      </w:pPr>
      <w:r>
        <w:rPr>
          <w:rStyle w:val="EndnoteReference"/>
        </w:rPr>
        <w:endnoteRef/>
      </w:r>
      <w:r>
        <w:t xml:space="preserve"> PHE. Public Health Outcomes Framework. Available here: </w:t>
      </w:r>
      <w:hyperlink r:id="rId58" w:anchor="page/0/gid/1000042/pat/6/par/E12000007/ati/202/are/E09000015/cid/4/page-options/ovw-do-0" w:history="1">
        <w:r w:rsidRPr="00953D09">
          <w:rPr>
            <w:rStyle w:val="Hyperlink"/>
          </w:rPr>
          <w:t>https://fingertips.phe.org.uk/public-health-outcomes-framework#page/0/gid/1000042/pat/6/par/E12000007/ati/202/are/E09000015/cid/4/page-options/ovw-do-0</w:t>
        </w:r>
      </w:hyperlink>
    </w:p>
  </w:endnote>
  <w:endnote w:id="60">
    <w:p w14:paraId="1A910FB6" w14:textId="77777777" w:rsidR="00AE6977" w:rsidRDefault="00AE6977" w:rsidP="004C4D76">
      <w:pPr>
        <w:pStyle w:val="EndnoteText"/>
      </w:pPr>
      <w:r>
        <w:rPr>
          <w:rStyle w:val="EndnoteReference"/>
        </w:rPr>
        <w:endnoteRef/>
      </w:r>
      <w:r>
        <w:t xml:space="preserve"> Sport England. New exercise habits forming during coronavirus crisis. Available here: </w:t>
      </w:r>
      <w:hyperlink r:id="rId59" w:history="1">
        <w:r w:rsidRPr="00953D09">
          <w:rPr>
            <w:rStyle w:val="Hyperlink"/>
          </w:rPr>
          <w:t>https://www.sportengland.org/news/new-exercise-habits-forming-during-coronavirus-crisis</w:t>
        </w:r>
      </w:hyperlink>
      <w:r>
        <w:t xml:space="preserve"> </w:t>
      </w:r>
    </w:p>
  </w:endnote>
  <w:endnote w:id="61">
    <w:p w14:paraId="1A910FB7" w14:textId="77777777" w:rsidR="00AE6977" w:rsidRDefault="00AE6977" w:rsidP="004C4D76">
      <w:pPr>
        <w:pStyle w:val="EndnoteText"/>
      </w:pPr>
      <w:r>
        <w:rPr>
          <w:rStyle w:val="EndnoteReference"/>
        </w:rPr>
        <w:endnoteRef/>
      </w:r>
      <w:r>
        <w:t xml:space="preserve"> NICE. Alcohol-use disorder: diagnosis, assessment and management of harmful drinking (high-risk drinking) and alcohol dependence. Clinical guideline [CG115]. Available here: </w:t>
      </w:r>
      <w:hyperlink r:id="rId60" w:history="1">
        <w:r w:rsidRPr="00E625DF">
          <w:rPr>
            <w:rStyle w:val="Hyperlink"/>
          </w:rPr>
          <w:t>https://www.nice.org.uk/guidance/cg115</w:t>
        </w:r>
      </w:hyperlink>
      <w:r>
        <w:t xml:space="preserve"> </w:t>
      </w:r>
    </w:p>
  </w:endnote>
  <w:endnote w:id="62">
    <w:p w14:paraId="1A910FB8" w14:textId="77777777" w:rsidR="00AE6977" w:rsidRDefault="00AE6977" w:rsidP="004C4D76">
      <w:pPr>
        <w:pStyle w:val="EndnoteText"/>
      </w:pPr>
      <w:r>
        <w:rPr>
          <w:rStyle w:val="EndnoteReference"/>
        </w:rPr>
        <w:endnoteRef/>
      </w:r>
      <w:r>
        <w:t xml:space="preserve"> NHS. Alcohol misuse. Available here: </w:t>
      </w:r>
      <w:hyperlink r:id="rId61" w:history="1">
        <w:r w:rsidRPr="00E625DF">
          <w:rPr>
            <w:rStyle w:val="Hyperlink"/>
          </w:rPr>
          <w:t>https://www.nhs.uk/conditions/alcohol-misuse/</w:t>
        </w:r>
      </w:hyperlink>
      <w:r>
        <w:t xml:space="preserve"> </w:t>
      </w:r>
    </w:p>
  </w:endnote>
  <w:endnote w:id="63">
    <w:p w14:paraId="1A910FB9" w14:textId="77777777" w:rsidR="00AE6977" w:rsidRDefault="00AE6977" w:rsidP="004C4D76">
      <w:pPr>
        <w:pStyle w:val="EndnoteText"/>
      </w:pPr>
      <w:r>
        <w:rPr>
          <w:rStyle w:val="EndnoteReference"/>
        </w:rPr>
        <w:endnoteRef/>
      </w:r>
      <w:r>
        <w:t xml:space="preserve"> PHE. The public health burden of alcohol and the effectives and cost-effectiveness of alcohol control policies: an evidence review. Available here: </w:t>
      </w:r>
      <w:hyperlink r:id="rId62" w:history="1">
        <w:r w:rsidRPr="00E625DF">
          <w:rPr>
            <w:rStyle w:val="Hyperlink"/>
          </w:rPr>
          <w:t>https://www.gov.uk/government/publications/the-public-health-burden-of-alcohol-evidence-review</w:t>
        </w:r>
      </w:hyperlink>
      <w:r>
        <w:t xml:space="preserve"> </w:t>
      </w:r>
    </w:p>
  </w:endnote>
  <w:endnote w:id="64">
    <w:p w14:paraId="1A910FBA" w14:textId="77777777" w:rsidR="00AE6977" w:rsidRDefault="00AE6977" w:rsidP="004C4D76">
      <w:pPr>
        <w:pStyle w:val="EndnoteText"/>
      </w:pPr>
      <w:r>
        <w:rPr>
          <w:rStyle w:val="EndnoteReference"/>
        </w:rPr>
        <w:endnoteRef/>
      </w:r>
      <w:r>
        <w:t xml:space="preserve"> PHE. Local Alcohol Profiles for England. Available here: </w:t>
      </w:r>
      <w:hyperlink r:id="rId63" w:history="1">
        <w:r w:rsidRPr="00E625DF">
          <w:rPr>
            <w:rStyle w:val="Hyperlink"/>
          </w:rPr>
          <w:t>https://fingertips.phe.org.uk/profile/local-alcohol-profiles</w:t>
        </w:r>
      </w:hyperlink>
      <w:r>
        <w:t xml:space="preserve"> </w:t>
      </w:r>
    </w:p>
  </w:endnote>
  <w:endnote w:id="65">
    <w:p w14:paraId="1A910FBB" w14:textId="77777777" w:rsidR="00AE6977" w:rsidRDefault="00AE6977" w:rsidP="004C4D76">
      <w:pPr>
        <w:pStyle w:val="EndnoteText"/>
      </w:pPr>
      <w:r>
        <w:rPr>
          <w:rStyle w:val="EndnoteReference"/>
        </w:rPr>
        <w:endnoteRef/>
      </w:r>
      <w:r>
        <w:t xml:space="preserve"> King’s College London and Ipsos MORI. Life under lockdown: coronavirus in the UK. Available here: </w:t>
      </w:r>
      <w:hyperlink r:id="rId64" w:history="1">
        <w:r>
          <w:rPr>
            <w:rStyle w:val="Hyperlink"/>
          </w:rPr>
          <w:t>https://www.kcl.ac.uk/news/life-under-lockdown-coronavirus-in-the-uk</w:t>
        </w:r>
      </w:hyperlink>
    </w:p>
  </w:endnote>
  <w:endnote w:id="66">
    <w:p w14:paraId="1A910FBC" w14:textId="77777777" w:rsidR="00AE6977" w:rsidRDefault="00AE6977" w:rsidP="004C4D76">
      <w:pPr>
        <w:pStyle w:val="EndnoteText"/>
      </w:pPr>
      <w:r>
        <w:rPr>
          <w:rStyle w:val="EndnoteReference"/>
        </w:rPr>
        <w:endnoteRef/>
      </w:r>
      <w:r>
        <w:t xml:space="preserve"> Alcohol Change UK. Drinking during lockdown: headline findings. Available here: </w:t>
      </w:r>
      <w:hyperlink r:id="rId65" w:history="1">
        <w:r w:rsidRPr="00E625DF">
          <w:rPr>
            <w:rStyle w:val="Hyperlink"/>
          </w:rPr>
          <w:t>https://www.alcoholchange.org.uk/blog/2020/covid19-drinking-during-lockdown-headline-findings</w:t>
        </w:r>
      </w:hyperlink>
      <w:r>
        <w:t xml:space="preserve"> </w:t>
      </w:r>
    </w:p>
  </w:endnote>
  <w:endnote w:id="67">
    <w:p w14:paraId="1A910FBD" w14:textId="77777777" w:rsidR="00AE6977" w:rsidRDefault="00AE6977" w:rsidP="004C4D76">
      <w:pPr>
        <w:pStyle w:val="EndnoteText"/>
      </w:pPr>
      <w:r>
        <w:rPr>
          <w:rStyle w:val="EndnoteReference"/>
        </w:rPr>
        <w:endnoteRef/>
      </w:r>
      <w:r>
        <w:t xml:space="preserve"> Department of Health and Social Care. UK Chief M</w:t>
      </w:r>
      <w:r w:rsidRPr="00C62A16">
        <w:t>edical Officers’ Low Risk Drinking Guidelines</w:t>
      </w:r>
      <w:r>
        <w:t xml:space="preserve">. Available here: </w:t>
      </w:r>
      <w:hyperlink r:id="rId66" w:history="1">
        <w:r w:rsidRPr="00E625DF">
          <w:rPr>
            <w:rStyle w:val="Hyperlink"/>
          </w:rPr>
          <w:t>https://www.gov.uk/government/publications/alcohol-consumption-advice-on-low-risk-drinking</w:t>
        </w:r>
      </w:hyperlink>
      <w:r>
        <w:t xml:space="preserve"> </w:t>
      </w:r>
    </w:p>
  </w:endnote>
  <w:endnote w:id="68">
    <w:p w14:paraId="1A910FBE" w14:textId="77777777" w:rsidR="00AE6977" w:rsidRDefault="00AE6977" w:rsidP="004C4D76">
      <w:pPr>
        <w:pStyle w:val="EndnoteText"/>
      </w:pPr>
      <w:r>
        <w:rPr>
          <w:rStyle w:val="EndnoteReference"/>
        </w:rPr>
        <w:endnoteRef/>
      </w:r>
      <w:r>
        <w:t xml:space="preserve"> </w:t>
      </w:r>
      <w:r w:rsidRPr="00956963">
        <w:t>CONSUMER SAFETY UNIT. 24th Annual Report, Home Accident Surveillance System. London: Department of Trade and Industry, 2002.</w:t>
      </w:r>
    </w:p>
  </w:endnote>
  <w:endnote w:id="69">
    <w:p w14:paraId="1A910FBF" w14:textId="77777777" w:rsidR="00AE6977" w:rsidRDefault="00AE6977" w:rsidP="004C4D76">
      <w:pPr>
        <w:pStyle w:val="EndnoteText"/>
      </w:pPr>
      <w:r>
        <w:rPr>
          <w:rStyle w:val="EndnoteReference"/>
        </w:rPr>
        <w:endnoteRef/>
      </w:r>
      <w:r>
        <w:t xml:space="preserve"> PHE. Child Health Profiles. Available here: </w:t>
      </w:r>
      <w:hyperlink r:id="rId67" w:anchor="page/1/gid/1938133228/pat/46/par/E39000018/ati/165/are/E38000074/cid/4" w:history="1">
        <w:r w:rsidRPr="00953D09">
          <w:rPr>
            <w:rStyle w:val="Hyperlink"/>
          </w:rPr>
          <w:t>https://fingertips.phe.org.uk/profile/child-health-profiles/data#page/1/gid/1938133228/pat/46/par/E39000018/ati/165/are/E38000074/cid/4</w:t>
        </w:r>
      </w:hyperlink>
    </w:p>
  </w:endnote>
  <w:endnote w:id="70">
    <w:p w14:paraId="1A910FC0" w14:textId="77777777" w:rsidR="00AE6977" w:rsidRDefault="00AE6977" w:rsidP="004C4D76">
      <w:pPr>
        <w:pStyle w:val="EndnoteText"/>
      </w:pPr>
      <w:r>
        <w:rPr>
          <w:rStyle w:val="EndnoteReference"/>
        </w:rPr>
        <w:endnoteRef/>
      </w:r>
      <w:r>
        <w:t xml:space="preserve"> CAPT. Preventing accidents in home. Available here: </w:t>
      </w:r>
      <w:hyperlink r:id="rId68" w:history="1">
        <w:r w:rsidRPr="00953D09">
          <w:rPr>
            <w:rStyle w:val="Hyperlink"/>
          </w:rPr>
          <w:t>https://capt.org.uk/news/preventing-accidents-in-the-home</w:t>
        </w:r>
      </w:hyperlink>
      <w:r>
        <w:t xml:space="preserve"> </w:t>
      </w:r>
    </w:p>
  </w:endnote>
  <w:endnote w:id="71">
    <w:p w14:paraId="1A910FC1" w14:textId="77777777" w:rsidR="00AE6977" w:rsidRDefault="00AE6977" w:rsidP="004C4D76">
      <w:pPr>
        <w:pStyle w:val="EndnoteText"/>
      </w:pPr>
      <w:r>
        <w:rPr>
          <w:rStyle w:val="EndnoteReference"/>
        </w:rPr>
        <w:endnoteRef/>
      </w:r>
      <w:r>
        <w:t xml:space="preserve"> RCNi. COVID-19: how lockdown affects children’s risk of home accident injury. Available here: </w:t>
      </w:r>
      <w:hyperlink r:id="rId69" w:history="1">
        <w:r w:rsidRPr="00953D09">
          <w:rPr>
            <w:rStyle w:val="Hyperlink"/>
          </w:rPr>
          <w:t>https://rcni.com/emergency-nurse/newsroom/analysis/covid-19-how-lockdown-affects-childrens-risk-of-home-accident-injury-161116</w:t>
        </w:r>
      </w:hyperlink>
      <w:r>
        <w:t xml:space="preserve"> </w:t>
      </w:r>
    </w:p>
  </w:endnote>
  <w:endnote w:id="72">
    <w:p w14:paraId="1A910FC2" w14:textId="77777777" w:rsidR="00AE6977" w:rsidRDefault="00AE6977" w:rsidP="004C4D76">
      <w:pPr>
        <w:pStyle w:val="EndnoteText"/>
      </w:pPr>
      <w:r>
        <w:rPr>
          <w:rStyle w:val="EndnoteReference"/>
        </w:rPr>
        <w:endnoteRef/>
      </w:r>
      <w:r>
        <w:t xml:space="preserve"> PHE. Infographic of the impact of vaccines in England and Wales. Available here: </w:t>
      </w:r>
      <w:hyperlink r:id="rId70" w:history="1">
        <w:r>
          <w:rPr>
            <w:rStyle w:val="Hyperlink"/>
          </w:rPr>
          <w:t>https://www.gov.uk/government/publications/vaccines-work-infographic</w:t>
        </w:r>
      </w:hyperlink>
    </w:p>
  </w:endnote>
  <w:endnote w:id="73">
    <w:p w14:paraId="1A910FC3" w14:textId="77777777" w:rsidR="00AE6977" w:rsidRDefault="00AE6977" w:rsidP="004C4D76">
      <w:pPr>
        <w:pStyle w:val="EndnoteText"/>
      </w:pPr>
      <w:r>
        <w:rPr>
          <w:rStyle w:val="EndnoteReference"/>
        </w:rPr>
        <w:endnoteRef/>
      </w:r>
      <w:r>
        <w:t xml:space="preserve"> PHE. UK immunisation schedule: the green book, chapter 11. Available here: </w:t>
      </w:r>
      <w:hyperlink r:id="rId71" w:history="1">
        <w:r>
          <w:rPr>
            <w:rStyle w:val="Hyperlink"/>
          </w:rPr>
          <w:t>https://www.gov.uk/government/publications/immunisation-schedule-the-green-book-chapter-11</w:t>
        </w:r>
      </w:hyperlink>
    </w:p>
  </w:endnote>
  <w:endnote w:id="74">
    <w:p w14:paraId="1A910FC4" w14:textId="77777777" w:rsidR="00AE6977" w:rsidRDefault="00AE6977" w:rsidP="004C4D76">
      <w:pPr>
        <w:pStyle w:val="EndnoteText"/>
      </w:pPr>
      <w:r>
        <w:rPr>
          <w:rStyle w:val="EndnoteReference"/>
        </w:rPr>
        <w:endnoteRef/>
      </w:r>
      <w:r>
        <w:t xml:space="preserve"> PHE. Vaccines throughout life: infographic. Available here: </w:t>
      </w:r>
      <w:hyperlink r:id="rId72" w:history="1">
        <w:r>
          <w:rPr>
            <w:rStyle w:val="Hyperlink"/>
          </w:rPr>
          <w:t>https://www.gov.uk/government/publications/vaccines-throughout-life-infographic</w:t>
        </w:r>
      </w:hyperlink>
    </w:p>
  </w:endnote>
  <w:endnote w:id="75">
    <w:p w14:paraId="1A910FC5" w14:textId="77777777" w:rsidR="00AE6977" w:rsidRDefault="00AE6977" w:rsidP="004C4D76">
      <w:pPr>
        <w:pStyle w:val="EndnoteText"/>
      </w:pPr>
      <w:r>
        <w:rPr>
          <w:rStyle w:val="EndnoteReference"/>
        </w:rPr>
        <w:endnoteRef/>
      </w:r>
      <w:r>
        <w:t xml:space="preserve"> Royal College of Nursing. Maintaining the National Immunisation schedule during COVID-19. Available here: </w:t>
      </w:r>
      <w:hyperlink r:id="rId73" w:history="1">
        <w:r w:rsidRPr="00F315A3">
          <w:rPr>
            <w:rStyle w:val="Hyperlink"/>
          </w:rPr>
          <w:t>https://www.rcn.org.uk/-/media/royal-college-of-nursing/documents/clinical-topics/public-health/maintaining-the-national-immunisation-schedule-during-covid-19.pdf?la=en&amp;hash=7F5D4E8A84C84E9AD1640B1A5A4A99BF</w:t>
        </w:r>
      </w:hyperlink>
      <w:r>
        <w:t xml:space="preserve"> </w:t>
      </w:r>
    </w:p>
  </w:endnote>
  <w:endnote w:id="76">
    <w:p w14:paraId="1A910FC6" w14:textId="77777777" w:rsidR="00AE6977" w:rsidRDefault="00AE6977" w:rsidP="001D1A21">
      <w:pPr>
        <w:pStyle w:val="EndnoteText"/>
      </w:pPr>
      <w:r>
        <w:rPr>
          <w:rStyle w:val="EndnoteReference"/>
        </w:rPr>
        <w:endnoteRef/>
      </w:r>
      <w:r>
        <w:t xml:space="preserve"> PHE. Child Health Profiles. Available here: </w:t>
      </w:r>
      <w:hyperlink r:id="rId74" w:anchor="page/1/gid/1938133228/pat/46/par/E39000018/ati/165/are/E38000074/cid/4" w:history="1">
        <w:r w:rsidRPr="00953D09">
          <w:rPr>
            <w:rStyle w:val="Hyperlink"/>
          </w:rPr>
          <w:t>https://fingertips.phe.org.uk/profile/child-health-profiles/data#page/1/gid/1938133228/pat/46/par/E39000018/ati/165/are/E38000074/cid/4</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10F76" w14:textId="77777777" w:rsidR="00AE6977" w:rsidRDefault="00AE6977" w:rsidP="004C4D76">
      <w:pPr>
        <w:spacing w:after="0" w:line="240" w:lineRule="auto"/>
      </w:pPr>
      <w:r>
        <w:separator/>
      </w:r>
    </w:p>
  </w:footnote>
  <w:footnote w:type="continuationSeparator" w:id="0">
    <w:p w14:paraId="1A910F77" w14:textId="77777777" w:rsidR="00AE6977" w:rsidRDefault="00AE6977" w:rsidP="004C4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87DB89"/>
    <w:multiLevelType w:val="hybridMultilevel"/>
    <w:tmpl w:val="BB7FA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505F3"/>
    <w:multiLevelType w:val="hybridMultilevel"/>
    <w:tmpl w:val="04B4E266"/>
    <w:lvl w:ilvl="0" w:tplc="87044A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6E9E"/>
    <w:multiLevelType w:val="hybridMultilevel"/>
    <w:tmpl w:val="E45C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B7201"/>
    <w:multiLevelType w:val="multilevel"/>
    <w:tmpl w:val="E168E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65227"/>
    <w:multiLevelType w:val="hybridMultilevel"/>
    <w:tmpl w:val="D1CA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B5DB2"/>
    <w:multiLevelType w:val="hybridMultilevel"/>
    <w:tmpl w:val="5ED4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818DC"/>
    <w:multiLevelType w:val="hybridMultilevel"/>
    <w:tmpl w:val="B3B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43023"/>
    <w:multiLevelType w:val="hybridMultilevel"/>
    <w:tmpl w:val="F61AF5FE"/>
    <w:lvl w:ilvl="0" w:tplc="C8482B56">
      <w:start w:val="1"/>
      <w:numFmt w:val="bullet"/>
      <w:lvlText w:val="•"/>
      <w:lvlJc w:val="left"/>
      <w:pPr>
        <w:tabs>
          <w:tab w:val="num" w:pos="720"/>
        </w:tabs>
        <w:ind w:left="720" w:hanging="360"/>
      </w:pPr>
      <w:rPr>
        <w:rFonts w:ascii="Arial" w:hAnsi="Arial" w:hint="default"/>
      </w:rPr>
    </w:lvl>
    <w:lvl w:ilvl="1" w:tplc="CAE2E528" w:tentative="1">
      <w:start w:val="1"/>
      <w:numFmt w:val="bullet"/>
      <w:lvlText w:val="•"/>
      <w:lvlJc w:val="left"/>
      <w:pPr>
        <w:tabs>
          <w:tab w:val="num" w:pos="1440"/>
        </w:tabs>
        <w:ind w:left="1440" w:hanging="360"/>
      </w:pPr>
      <w:rPr>
        <w:rFonts w:ascii="Arial" w:hAnsi="Arial" w:hint="default"/>
      </w:rPr>
    </w:lvl>
    <w:lvl w:ilvl="2" w:tplc="AEE4ED90" w:tentative="1">
      <w:start w:val="1"/>
      <w:numFmt w:val="bullet"/>
      <w:lvlText w:val="•"/>
      <w:lvlJc w:val="left"/>
      <w:pPr>
        <w:tabs>
          <w:tab w:val="num" w:pos="2160"/>
        </w:tabs>
        <w:ind w:left="2160" w:hanging="360"/>
      </w:pPr>
      <w:rPr>
        <w:rFonts w:ascii="Arial" w:hAnsi="Arial" w:hint="default"/>
      </w:rPr>
    </w:lvl>
    <w:lvl w:ilvl="3" w:tplc="4D58B8A8" w:tentative="1">
      <w:start w:val="1"/>
      <w:numFmt w:val="bullet"/>
      <w:lvlText w:val="•"/>
      <w:lvlJc w:val="left"/>
      <w:pPr>
        <w:tabs>
          <w:tab w:val="num" w:pos="2880"/>
        </w:tabs>
        <w:ind w:left="2880" w:hanging="360"/>
      </w:pPr>
      <w:rPr>
        <w:rFonts w:ascii="Arial" w:hAnsi="Arial" w:hint="default"/>
      </w:rPr>
    </w:lvl>
    <w:lvl w:ilvl="4" w:tplc="842AD3D6" w:tentative="1">
      <w:start w:val="1"/>
      <w:numFmt w:val="bullet"/>
      <w:lvlText w:val="•"/>
      <w:lvlJc w:val="left"/>
      <w:pPr>
        <w:tabs>
          <w:tab w:val="num" w:pos="3600"/>
        </w:tabs>
        <w:ind w:left="3600" w:hanging="360"/>
      </w:pPr>
      <w:rPr>
        <w:rFonts w:ascii="Arial" w:hAnsi="Arial" w:hint="default"/>
      </w:rPr>
    </w:lvl>
    <w:lvl w:ilvl="5" w:tplc="75BAEC60" w:tentative="1">
      <w:start w:val="1"/>
      <w:numFmt w:val="bullet"/>
      <w:lvlText w:val="•"/>
      <w:lvlJc w:val="left"/>
      <w:pPr>
        <w:tabs>
          <w:tab w:val="num" w:pos="4320"/>
        </w:tabs>
        <w:ind w:left="4320" w:hanging="360"/>
      </w:pPr>
      <w:rPr>
        <w:rFonts w:ascii="Arial" w:hAnsi="Arial" w:hint="default"/>
      </w:rPr>
    </w:lvl>
    <w:lvl w:ilvl="6" w:tplc="A1BE9CB0" w:tentative="1">
      <w:start w:val="1"/>
      <w:numFmt w:val="bullet"/>
      <w:lvlText w:val="•"/>
      <w:lvlJc w:val="left"/>
      <w:pPr>
        <w:tabs>
          <w:tab w:val="num" w:pos="5040"/>
        </w:tabs>
        <w:ind w:left="5040" w:hanging="360"/>
      </w:pPr>
      <w:rPr>
        <w:rFonts w:ascii="Arial" w:hAnsi="Arial" w:hint="default"/>
      </w:rPr>
    </w:lvl>
    <w:lvl w:ilvl="7" w:tplc="8162ECB0" w:tentative="1">
      <w:start w:val="1"/>
      <w:numFmt w:val="bullet"/>
      <w:lvlText w:val="•"/>
      <w:lvlJc w:val="left"/>
      <w:pPr>
        <w:tabs>
          <w:tab w:val="num" w:pos="5760"/>
        </w:tabs>
        <w:ind w:left="5760" w:hanging="360"/>
      </w:pPr>
      <w:rPr>
        <w:rFonts w:ascii="Arial" w:hAnsi="Arial" w:hint="default"/>
      </w:rPr>
    </w:lvl>
    <w:lvl w:ilvl="8" w:tplc="BF3A8F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F65F03"/>
    <w:multiLevelType w:val="hybridMultilevel"/>
    <w:tmpl w:val="BA4E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4161C"/>
    <w:multiLevelType w:val="hybridMultilevel"/>
    <w:tmpl w:val="E90C34FC"/>
    <w:lvl w:ilvl="0" w:tplc="DA4E8B08">
      <w:numFmt w:val="bullet"/>
      <w:lvlText w:val="·"/>
      <w:lvlJc w:val="left"/>
      <w:pPr>
        <w:ind w:left="99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E6647"/>
    <w:multiLevelType w:val="hybridMultilevel"/>
    <w:tmpl w:val="111848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50E400D"/>
    <w:multiLevelType w:val="hybridMultilevel"/>
    <w:tmpl w:val="C698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30B53"/>
    <w:multiLevelType w:val="multilevel"/>
    <w:tmpl w:val="F05CB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EC1A41"/>
    <w:multiLevelType w:val="hybridMultilevel"/>
    <w:tmpl w:val="D472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B3493"/>
    <w:multiLevelType w:val="hybridMultilevel"/>
    <w:tmpl w:val="6B22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164FF"/>
    <w:multiLevelType w:val="hybridMultilevel"/>
    <w:tmpl w:val="AD88D262"/>
    <w:lvl w:ilvl="0" w:tplc="87044A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B0611"/>
    <w:multiLevelType w:val="hybridMultilevel"/>
    <w:tmpl w:val="EEAA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E25D9"/>
    <w:multiLevelType w:val="hybridMultilevel"/>
    <w:tmpl w:val="43E8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A3B83"/>
    <w:multiLevelType w:val="hybridMultilevel"/>
    <w:tmpl w:val="A9244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D5A1D"/>
    <w:multiLevelType w:val="multilevel"/>
    <w:tmpl w:val="A1140BC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0" w15:restartNumberingAfterBreak="0">
    <w:nsid w:val="42631197"/>
    <w:multiLevelType w:val="multilevel"/>
    <w:tmpl w:val="F05CB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C07F4D"/>
    <w:multiLevelType w:val="hybridMultilevel"/>
    <w:tmpl w:val="06EC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65E8A"/>
    <w:multiLevelType w:val="hybridMultilevel"/>
    <w:tmpl w:val="0BE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1240E"/>
    <w:multiLevelType w:val="hybridMultilevel"/>
    <w:tmpl w:val="C0F4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A60B3"/>
    <w:multiLevelType w:val="hybridMultilevel"/>
    <w:tmpl w:val="1440282A"/>
    <w:lvl w:ilvl="0" w:tplc="4A8AF56E">
      <w:start w:val="1"/>
      <w:numFmt w:val="bullet"/>
      <w:lvlText w:val="•"/>
      <w:lvlJc w:val="left"/>
      <w:pPr>
        <w:tabs>
          <w:tab w:val="num" w:pos="720"/>
        </w:tabs>
        <w:ind w:left="720" w:hanging="360"/>
      </w:pPr>
      <w:rPr>
        <w:rFonts w:ascii="Arial" w:hAnsi="Arial" w:hint="default"/>
      </w:rPr>
    </w:lvl>
    <w:lvl w:ilvl="1" w:tplc="05525C60" w:tentative="1">
      <w:start w:val="1"/>
      <w:numFmt w:val="bullet"/>
      <w:lvlText w:val="•"/>
      <w:lvlJc w:val="left"/>
      <w:pPr>
        <w:tabs>
          <w:tab w:val="num" w:pos="1440"/>
        </w:tabs>
        <w:ind w:left="1440" w:hanging="360"/>
      </w:pPr>
      <w:rPr>
        <w:rFonts w:ascii="Arial" w:hAnsi="Arial" w:hint="default"/>
      </w:rPr>
    </w:lvl>
    <w:lvl w:ilvl="2" w:tplc="33025F4E" w:tentative="1">
      <w:start w:val="1"/>
      <w:numFmt w:val="bullet"/>
      <w:lvlText w:val="•"/>
      <w:lvlJc w:val="left"/>
      <w:pPr>
        <w:tabs>
          <w:tab w:val="num" w:pos="2160"/>
        </w:tabs>
        <w:ind w:left="2160" w:hanging="360"/>
      </w:pPr>
      <w:rPr>
        <w:rFonts w:ascii="Arial" w:hAnsi="Arial" w:hint="default"/>
      </w:rPr>
    </w:lvl>
    <w:lvl w:ilvl="3" w:tplc="96BC0EBE" w:tentative="1">
      <w:start w:val="1"/>
      <w:numFmt w:val="bullet"/>
      <w:lvlText w:val="•"/>
      <w:lvlJc w:val="left"/>
      <w:pPr>
        <w:tabs>
          <w:tab w:val="num" w:pos="2880"/>
        </w:tabs>
        <w:ind w:left="2880" w:hanging="360"/>
      </w:pPr>
      <w:rPr>
        <w:rFonts w:ascii="Arial" w:hAnsi="Arial" w:hint="default"/>
      </w:rPr>
    </w:lvl>
    <w:lvl w:ilvl="4" w:tplc="EB70AC2A" w:tentative="1">
      <w:start w:val="1"/>
      <w:numFmt w:val="bullet"/>
      <w:lvlText w:val="•"/>
      <w:lvlJc w:val="left"/>
      <w:pPr>
        <w:tabs>
          <w:tab w:val="num" w:pos="3600"/>
        </w:tabs>
        <w:ind w:left="3600" w:hanging="360"/>
      </w:pPr>
      <w:rPr>
        <w:rFonts w:ascii="Arial" w:hAnsi="Arial" w:hint="default"/>
      </w:rPr>
    </w:lvl>
    <w:lvl w:ilvl="5" w:tplc="75B2CB00" w:tentative="1">
      <w:start w:val="1"/>
      <w:numFmt w:val="bullet"/>
      <w:lvlText w:val="•"/>
      <w:lvlJc w:val="left"/>
      <w:pPr>
        <w:tabs>
          <w:tab w:val="num" w:pos="4320"/>
        </w:tabs>
        <w:ind w:left="4320" w:hanging="360"/>
      </w:pPr>
      <w:rPr>
        <w:rFonts w:ascii="Arial" w:hAnsi="Arial" w:hint="default"/>
      </w:rPr>
    </w:lvl>
    <w:lvl w:ilvl="6" w:tplc="6AD4CCB2" w:tentative="1">
      <w:start w:val="1"/>
      <w:numFmt w:val="bullet"/>
      <w:lvlText w:val="•"/>
      <w:lvlJc w:val="left"/>
      <w:pPr>
        <w:tabs>
          <w:tab w:val="num" w:pos="5040"/>
        </w:tabs>
        <w:ind w:left="5040" w:hanging="360"/>
      </w:pPr>
      <w:rPr>
        <w:rFonts w:ascii="Arial" w:hAnsi="Arial" w:hint="default"/>
      </w:rPr>
    </w:lvl>
    <w:lvl w:ilvl="7" w:tplc="6270BFB4" w:tentative="1">
      <w:start w:val="1"/>
      <w:numFmt w:val="bullet"/>
      <w:lvlText w:val="•"/>
      <w:lvlJc w:val="left"/>
      <w:pPr>
        <w:tabs>
          <w:tab w:val="num" w:pos="5760"/>
        </w:tabs>
        <w:ind w:left="5760" w:hanging="360"/>
      </w:pPr>
      <w:rPr>
        <w:rFonts w:ascii="Arial" w:hAnsi="Arial" w:hint="default"/>
      </w:rPr>
    </w:lvl>
    <w:lvl w:ilvl="8" w:tplc="17EAB9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6F66E6"/>
    <w:multiLevelType w:val="hybridMultilevel"/>
    <w:tmpl w:val="87A6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71234"/>
    <w:multiLevelType w:val="hybridMultilevel"/>
    <w:tmpl w:val="23E8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D6AF1"/>
    <w:multiLevelType w:val="hybridMultilevel"/>
    <w:tmpl w:val="C80E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D04EE"/>
    <w:multiLevelType w:val="hybridMultilevel"/>
    <w:tmpl w:val="E078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1050D"/>
    <w:multiLevelType w:val="hybridMultilevel"/>
    <w:tmpl w:val="242E7A6A"/>
    <w:lvl w:ilvl="0" w:tplc="DA4E8B08">
      <w:numFmt w:val="bullet"/>
      <w:lvlText w:val="·"/>
      <w:lvlJc w:val="left"/>
      <w:pPr>
        <w:ind w:left="99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12211"/>
    <w:multiLevelType w:val="hybridMultilevel"/>
    <w:tmpl w:val="2DFA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B1C83"/>
    <w:multiLevelType w:val="hybridMultilevel"/>
    <w:tmpl w:val="FDE61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688A46ED"/>
    <w:multiLevelType w:val="hybridMultilevel"/>
    <w:tmpl w:val="822E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75C18"/>
    <w:multiLevelType w:val="hybridMultilevel"/>
    <w:tmpl w:val="B1E4E8FE"/>
    <w:lvl w:ilvl="0" w:tplc="DC4AB29C">
      <w:start w:val="1"/>
      <w:numFmt w:val="bullet"/>
      <w:lvlText w:val="•"/>
      <w:lvlJc w:val="left"/>
      <w:pPr>
        <w:tabs>
          <w:tab w:val="num" w:pos="720"/>
        </w:tabs>
        <w:ind w:left="720" w:hanging="360"/>
      </w:pPr>
      <w:rPr>
        <w:rFonts w:ascii="Arial" w:hAnsi="Arial" w:hint="default"/>
      </w:rPr>
    </w:lvl>
    <w:lvl w:ilvl="1" w:tplc="AC360EDA" w:tentative="1">
      <w:start w:val="1"/>
      <w:numFmt w:val="bullet"/>
      <w:lvlText w:val="•"/>
      <w:lvlJc w:val="left"/>
      <w:pPr>
        <w:tabs>
          <w:tab w:val="num" w:pos="1440"/>
        </w:tabs>
        <w:ind w:left="1440" w:hanging="360"/>
      </w:pPr>
      <w:rPr>
        <w:rFonts w:ascii="Arial" w:hAnsi="Arial" w:hint="default"/>
      </w:rPr>
    </w:lvl>
    <w:lvl w:ilvl="2" w:tplc="2AB48494" w:tentative="1">
      <w:start w:val="1"/>
      <w:numFmt w:val="bullet"/>
      <w:lvlText w:val="•"/>
      <w:lvlJc w:val="left"/>
      <w:pPr>
        <w:tabs>
          <w:tab w:val="num" w:pos="2160"/>
        </w:tabs>
        <w:ind w:left="2160" w:hanging="360"/>
      </w:pPr>
      <w:rPr>
        <w:rFonts w:ascii="Arial" w:hAnsi="Arial" w:hint="default"/>
      </w:rPr>
    </w:lvl>
    <w:lvl w:ilvl="3" w:tplc="C20E3BB0" w:tentative="1">
      <w:start w:val="1"/>
      <w:numFmt w:val="bullet"/>
      <w:lvlText w:val="•"/>
      <w:lvlJc w:val="left"/>
      <w:pPr>
        <w:tabs>
          <w:tab w:val="num" w:pos="2880"/>
        </w:tabs>
        <w:ind w:left="2880" w:hanging="360"/>
      </w:pPr>
      <w:rPr>
        <w:rFonts w:ascii="Arial" w:hAnsi="Arial" w:hint="default"/>
      </w:rPr>
    </w:lvl>
    <w:lvl w:ilvl="4" w:tplc="1CBA6960" w:tentative="1">
      <w:start w:val="1"/>
      <w:numFmt w:val="bullet"/>
      <w:lvlText w:val="•"/>
      <w:lvlJc w:val="left"/>
      <w:pPr>
        <w:tabs>
          <w:tab w:val="num" w:pos="3600"/>
        </w:tabs>
        <w:ind w:left="3600" w:hanging="360"/>
      </w:pPr>
      <w:rPr>
        <w:rFonts w:ascii="Arial" w:hAnsi="Arial" w:hint="default"/>
      </w:rPr>
    </w:lvl>
    <w:lvl w:ilvl="5" w:tplc="1E04CE0A" w:tentative="1">
      <w:start w:val="1"/>
      <w:numFmt w:val="bullet"/>
      <w:lvlText w:val="•"/>
      <w:lvlJc w:val="left"/>
      <w:pPr>
        <w:tabs>
          <w:tab w:val="num" w:pos="4320"/>
        </w:tabs>
        <w:ind w:left="4320" w:hanging="360"/>
      </w:pPr>
      <w:rPr>
        <w:rFonts w:ascii="Arial" w:hAnsi="Arial" w:hint="default"/>
      </w:rPr>
    </w:lvl>
    <w:lvl w:ilvl="6" w:tplc="D0E683AA" w:tentative="1">
      <w:start w:val="1"/>
      <w:numFmt w:val="bullet"/>
      <w:lvlText w:val="•"/>
      <w:lvlJc w:val="left"/>
      <w:pPr>
        <w:tabs>
          <w:tab w:val="num" w:pos="5040"/>
        </w:tabs>
        <w:ind w:left="5040" w:hanging="360"/>
      </w:pPr>
      <w:rPr>
        <w:rFonts w:ascii="Arial" w:hAnsi="Arial" w:hint="default"/>
      </w:rPr>
    </w:lvl>
    <w:lvl w:ilvl="7" w:tplc="97842806" w:tentative="1">
      <w:start w:val="1"/>
      <w:numFmt w:val="bullet"/>
      <w:lvlText w:val="•"/>
      <w:lvlJc w:val="left"/>
      <w:pPr>
        <w:tabs>
          <w:tab w:val="num" w:pos="5760"/>
        </w:tabs>
        <w:ind w:left="5760" w:hanging="360"/>
      </w:pPr>
      <w:rPr>
        <w:rFonts w:ascii="Arial" w:hAnsi="Arial" w:hint="default"/>
      </w:rPr>
    </w:lvl>
    <w:lvl w:ilvl="8" w:tplc="D6F656B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C16DAB"/>
    <w:multiLevelType w:val="hybridMultilevel"/>
    <w:tmpl w:val="18F8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5E61B4"/>
    <w:multiLevelType w:val="hybridMultilevel"/>
    <w:tmpl w:val="76FE4CAE"/>
    <w:lvl w:ilvl="0" w:tplc="1098D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6630F"/>
    <w:multiLevelType w:val="hybridMultilevel"/>
    <w:tmpl w:val="E5F8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82BBA"/>
    <w:multiLevelType w:val="hybridMultilevel"/>
    <w:tmpl w:val="9992DBFA"/>
    <w:lvl w:ilvl="0" w:tplc="844AA782">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FFF65AE"/>
    <w:multiLevelType w:val="hybridMultilevel"/>
    <w:tmpl w:val="2B58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83B37"/>
    <w:multiLevelType w:val="hybridMultilevel"/>
    <w:tmpl w:val="F5100056"/>
    <w:lvl w:ilvl="0" w:tplc="87044A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E2A3F"/>
    <w:multiLevelType w:val="hybridMultilevel"/>
    <w:tmpl w:val="DC82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5F6368"/>
    <w:multiLevelType w:val="hybridMultilevel"/>
    <w:tmpl w:val="B180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419BE"/>
    <w:multiLevelType w:val="hybridMultilevel"/>
    <w:tmpl w:val="7CD0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015714"/>
    <w:multiLevelType w:val="hybridMultilevel"/>
    <w:tmpl w:val="A1CE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17FC5"/>
    <w:multiLevelType w:val="hybridMultilevel"/>
    <w:tmpl w:val="026C69CE"/>
    <w:lvl w:ilvl="0" w:tplc="08090001">
      <w:start w:val="1"/>
      <w:numFmt w:val="bullet"/>
      <w:lvlText w:val=""/>
      <w:lvlJc w:val="left"/>
      <w:pPr>
        <w:ind w:left="990" w:hanging="6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7"/>
  </w:num>
  <w:num w:numId="4">
    <w:abstractNumId w:val="32"/>
  </w:num>
  <w:num w:numId="5">
    <w:abstractNumId w:val="30"/>
  </w:num>
  <w:num w:numId="6">
    <w:abstractNumId w:val="26"/>
  </w:num>
  <w:num w:numId="7">
    <w:abstractNumId w:val="40"/>
  </w:num>
  <w:num w:numId="8">
    <w:abstractNumId w:val="41"/>
  </w:num>
  <w:num w:numId="9">
    <w:abstractNumId w:val="24"/>
  </w:num>
  <w:num w:numId="10">
    <w:abstractNumId w:val="10"/>
  </w:num>
  <w:num w:numId="11">
    <w:abstractNumId w:val="21"/>
  </w:num>
  <w:num w:numId="12">
    <w:abstractNumId w:val="16"/>
  </w:num>
  <w:num w:numId="13">
    <w:abstractNumId w:val="13"/>
  </w:num>
  <w:num w:numId="14">
    <w:abstractNumId w:val="38"/>
  </w:num>
  <w:num w:numId="15">
    <w:abstractNumId w:val="23"/>
  </w:num>
  <w:num w:numId="16">
    <w:abstractNumId w:val="17"/>
  </w:num>
  <w:num w:numId="17">
    <w:abstractNumId w:val="20"/>
  </w:num>
  <w:num w:numId="18">
    <w:abstractNumId w:val="12"/>
  </w:num>
  <w:num w:numId="19">
    <w:abstractNumId w:val="0"/>
  </w:num>
  <w:num w:numId="20">
    <w:abstractNumId w:val="27"/>
  </w:num>
  <w:num w:numId="21">
    <w:abstractNumId w:val="29"/>
  </w:num>
  <w:num w:numId="22">
    <w:abstractNumId w:val="9"/>
  </w:num>
  <w:num w:numId="23">
    <w:abstractNumId w:val="44"/>
  </w:num>
  <w:num w:numId="24">
    <w:abstractNumId w:val="35"/>
  </w:num>
  <w:num w:numId="25">
    <w:abstractNumId w:val="18"/>
  </w:num>
  <w:num w:numId="26">
    <w:abstractNumId w:val="37"/>
  </w:num>
  <w:num w:numId="27">
    <w:abstractNumId w:val="31"/>
  </w:num>
  <w:num w:numId="28">
    <w:abstractNumId w:val="19"/>
  </w:num>
  <w:num w:numId="29">
    <w:abstractNumId w:val="25"/>
  </w:num>
  <w:num w:numId="30">
    <w:abstractNumId w:val="11"/>
  </w:num>
  <w:num w:numId="31">
    <w:abstractNumId w:val="6"/>
  </w:num>
  <w:num w:numId="32">
    <w:abstractNumId w:val="5"/>
  </w:num>
  <w:num w:numId="33">
    <w:abstractNumId w:val="4"/>
  </w:num>
  <w:num w:numId="34">
    <w:abstractNumId w:val="43"/>
  </w:num>
  <w:num w:numId="35">
    <w:abstractNumId w:val="22"/>
  </w:num>
  <w:num w:numId="36">
    <w:abstractNumId w:val="42"/>
  </w:num>
  <w:num w:numId="37">
    <w:abstractNumId w:val="34"/>
  </w:num>
  <w:num w:numId="38">
    <w:abstractNumId w:val="2"/>
  </w:num>
  <w:num w:numId="39">
    <w:abstractNumId w:val="14"/>
  </w:num>
  <w:num w:numId="40">
    <w:abstractNumId w:val="8"/>
  </w:num>
  <w:num w:numId="41">
    <w:abstractNumId w:val="3"/>
  </w:num>
  <w:num w:numId="42">
    <w:abstractNumId w:val="1"/>
  </w:num>
  <w:num w:numId="43">
    <w:abstractNumId w:val="39"/>
  </w:num>
  <w:num w:numId="44">
    <w:abstractNumId w:val="1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4C0"/>
    <w:rsid w:val="000433CF"/>
    <w:rsid w:val="000A3EEE"/>
    <w:rsid w:val="000C1152"/>
    <w:rsid w:val="000D02B5"/>
    <w:rsid w:val="000E1805"/>
    <w:rsid w:val="000F271D"/>
    <w:rsid w:val="00107A7F"/>
    <w:rsid w:val="001159D4"/>
    <w:rsid w:val="00115A65"/>
    <w:rsid w:val="00157A36"/>
    <w:rsid w:val="00174979"/>
    <w:rsid w:val="001757D2"/>
    <w:rsid w:val="001A35EF"/>
    <w:rsid w:val="001B097E"/>
    <w:rsid w:val="001B3603"/>
    <w:rsid w:val="001B441E"/>
    <w:rsid w:val="001D1A21"/>
    <w:rsid w:val="001E7F45"/>
    <w:rsid w:val="0020034F"/>
    <w:rsid w:val="0020039E"/>
    <w:rsid w:val="00225764"/>
    <w:rsid w:val="00265469"/>
    <w:rsid w:val="002751B2"/>
    <w:rsid w:val="002759DC"/>
    <w:rsid w:val="00291ADC"/>
    <w:rsid w:val="00294022"/>
    <w:rsid w:val="002B20EE"/>
    <w:rsid w:val="002B3BF5"/>
    <w:rsid w:val="002F1F6D"/>
    <w:rsid w:val="00313E20"/>
    <w:rsid w:val="003218AB"/>
    <w:rsid w:val="00336AEA"/>
    <w:rsid w:val="00372DE4"/>
    <w:rsid w:val="00374EE4"/>
    <w:rsid w:val="003752A1"/>
    <w:rsid w:val="00380361"/>
    <w:rsid w:val="00385962"/>
    <w:rsid w:val="00394F75"/>
    <w:rsid w:val="003C6900"/>
    <w:rsid w:val="003D17D8"/>
    <w:rsid w:val="003D2D47"/>
    <w:rsid w:val="003F15CB"/>
    <w:rsid w:val="003F310A"/>
    <w:rsid w:val="00404DD3"/>
    <w:rsid w:val="00406F30"/>
    <w:rsid w:val="00410EF6"/>
    <w:rsid w:val="0044720B"/>
    <w:rsid w:val="00450AD7"/>
    <w:rsid w:val="00451969"/>
    <w:rsid w:val="0047132D"/>
    <w:rsid w:val="004758EC"/>
    <w:rsid w:val="00494FB8"/>
    <w:rsid w:val="004C4D76"/>
    <w:rsid w:val="004C69D2"/>
    <w:rsid w:val="004D1E66"/>
    <w:rsid w:val="004F5C29"/>
    <w:rsid w:val="00516696"/>
    <w:rsid w:val="005622B5"/>
    <w:rsid w:val="00567251"/>
    <w:rsid w:val="005F7532"/>
    <w:rsid w:val="0060115C"/>
    <w:rsid w:val="0061047F"/>
    <w:rsid w:val="00646711"/>
    <w:rsid w:val="00661976"/>
    <w:rsid w:val="0069180C"/>
    <w:rsid w:val="006A5657"/>
    <w:rsid w:val="006B72D1"/>
    <w:rsid w:val="006F292E"/>
    <w:rsid w:val="00703BF8"/>
    <w:rsid w:val="00715F2E"/>
    <w:rsid w:val="00721ABB"/>
    <w:rsid w:val="00722DAD"/>
    <w:rsid w:val="00773AA4"/>
    <w:rsid w:val="00781EC0"/>
    <w:rsid w:val="007974D9"/>
    <w:rsid w:val="007B2AC4"/>
    <w:rsid w:val="007C2A06"/>
    <w:rsid w:val="007C4D6A"/>
    <w:rsid w:val="007D6AC6"/>
    <w:rsid w:val="00817E72"/>
    <w:rsid w:val="00837E4E"/>
    <w:rsid w:val="00840504"/>
    <w:rsid w:val="00852CC1"/>
    <w:rsid w:val="00856893"/>
    <w:rsid w:val="00883100"/>
    <w:rsid w:val="008C2116"/>
    <w:rsid w:val="008D58B5"/>
    <w:rsid w:val="008D6202"/>
    <w:rsid w:val="008E0073"/>
    <w:rsid w:val="008E5A15"/>
    <w:rsid w:val="008F4717"/>
    <w:rsid w:val="0090751E"/>
    <w:rsid w:val="009248B4"/>
    <w:rsid w:val="00925178"/>
    <w:rsid w:val="009332A7"/>
    <w:rsid w:val="0093400D"/>
    <w:rsid w:val="00940464"/>
    <w:rsid w:val="00946C12"/>
    <w:rsid w:val="00953F95"/>
    <w:rsid w:val="0095526A"/>
    <w:rsid w:val="00955A2C"/>
    <w:rsid w:val="00965517"/>
    <w:rsid w:val="00973130"/>
    <w:rsid w:val="00977403"/>
    <w:rsid w:val="0099377F"/>
    <w:rsid w:val="009961B5"/>
    <w:rsid w:val="009B23AD"/>
    <w:rsid w:val="009B509A"/>
    <w:rsid w:val="009B663B"/>
    <w:rsid w:val="009C3619"/>
    <w:rsid w:val="009F4C3D"/>
    <w:rsid w:val="009F4E87"/>
    <w:rsid w:val="00A26DD0"/>
    <w:rsid w:val="00A576F8"/>
    <w:rsid w:val="00A64D64"/>
    <w:rsid w:val="00A673AB"/>
    <w:rsid w:val="00A90290"/>
    <w:rsid w:val="00AA492A"/>
    <w:rsid w:val="00AC6EBD"/>
    <w:rsid w:val="00AD74C4"/>
    <w:rsid w:val="00AE6977"/>
    <w:rsid w:val="00B1242C"/>
    <w:rsid w:val="00B1518A"/>
    <w:rsid w:val="00B20708"/>
    <w:rsid w:val="00B46B38"/>
    <w:rsid w:val="00B6256F"/>
    <w:rsid w:val="00B67680"/>
    <w:rsid w:val="00B74D2E"/>
    <w:rsid w:val="00B83620"/>
    <w:rsid w:val="00B8379C"/>
    <w:rsid w:val="00BA4E21"/>
    <w:rsid w:val="00BA56F5"/>
    <w:rsid w:val="00BB10BE"/>
    <w:rsid w:val="00C06A95"/>
    <w:rsid w:val="00C06AD7"/>
    <w:rsid w:val="00C23AFB"/>
    <w:rsid w:val="00C26811"/>
    <w:rsid w:val="00C26F37"/>
    <w:rsid w:val="00C30D01"/>
    <w:rsid w:val="00C579B8"/>
    <w:rsid w:val="00C7194D"/>
    <w:rsid w:val="00C7286F"/>
    <w:rsid w:val="00C80590"/>
    <w:rsid w:val="00C85CE4"/>
    <w:rsid w:val="00C8610B"/>
    <w:rsid w:val="00CA6281"/>
    <w:rsid w:val="00CD068F"/>
    <w:rsid w:val="00CE6E64"/>
    <w:rsid w:val="00D025DD"/>
    <w:rsid w:val="00D12DC1"/>
    <w:rsid w:val="00D2390D"/>
    <w:rsid w:val="00D37284"/>
    <w:rsid w:val="00D44B19"/>
    <w:rsid w:val="00D63B27"/>
    <w:rsid w:val="00D724C0"/>
    <w:rsid w:val="00D77EED"/>
    <w:rsid w:val="00DB7209"/>
    <w:rsid w:val="00DC002B"/>
    <w:rsid w:val="00DC2F27"/>
    <w:rsid w:val="00DF1A91"/>
    <w:rsid w:val="00E0696E"/>
    <w:rsid w:val="00E10A77"/>
    <w:rsid w:val="00E17E00"/>
    <w:rsid w:val="00E2722F"/>
    <w:rsid w:val="00E75F5D"/>
    <w:rsid w:val="00E82F0F"/>
    <w:rsid w:val="00F00FD8"/>
    <w:rsid w:val="00F17C1D"/>
    <w:rsid w:val="00F408D6"/>
    <w:rsid w:val="00F454D9"/>
    <w:rsid w:val="00F5629C"/>
    <w:rsid w:val="00F624A2"/>
    <w:rsid w:val="00F80558"/>
    <w:rsid w:val="00FB7A51"/>
    <w:rsid w:val="00FC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0DAE"/>
  <w15:docId w15:val="{A43ADA48-6CDB-4ABB-842A-6DD08AD4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C4"/>
    <w:rPr>
      <w:sz w:val="24"/>
    </w:rPr>
  </w:style>
  <w:style w:type="paragraph" w:styleId="Heading1">
    <w:name w:val="heading 1"/>
    <w:basedOn w:val="Normal"/>
    <w:next w:val="Normal"/>
    <w:link w:val="Heading1Char"/>
    <w:uiPriority w:val="9"/>
    <w:qFormat/>
    <w:rsid w:val="0020039E"/>
    <w:pPr>
      <w:keepNext/>
      <w:keepLines/>
      <w:spacing w:after="0"/>
      <w:outlineLvl w:val="0"/>
    </w:pPr>
    <w:rPr>
      <w:rFonts w:asciiTheme="majorHAnsi" w:eastAsia="Times New Roman"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1A3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7F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6A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025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1B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494FB8"/>
    <w:pPr>
      <w:ind w:left="720"/>
      <w:contextualSpacing/>
    </w:pPr>
    <w:rPr>
      <w:rFonts w:ascii="Arial" w:eastAsia="Calibri" w:hAnsi="Arial" w:cs="Times New Roman"/>
    </w:rPr>
  </w:style>
  <w:style w:type="character" w:styleId="Hyperlink">
    <w:name w:val="Hyperlink"/>
    <w:basedOn w:val="DefaultParagraphFont"/>
    <w:uiPriority w:val="99"/>
    <w:unhideWhenUsed/>
    <w:rsid w:val="005F7532"/>
    <w:rPr>
      <w:color w:val="0000FF"/>
      <w:u w:val="single"/>
    </w:rPr>
  </w:style>
  <w:style w:type="paragraph" w:styleId="BalloonText">
    <w:name w:val="Balloon Text"/>
    <w:basedOn w:val="Normal"/>
    <w:link w:val="BalloonTextChar"/>
    <w:uiPriority w:val="99"/>
    <w:semiHidden/>
    <w:unhideWhenUsed/>
    <w:rsid w:val="00E1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E00"/>
    <w:rPr>
      <w:rFonts w:ascii="Tahoma" w:hAnsi="Tahoma" w:cs="Tahoma"/>
      <w:sz w:val="16"/>
      <w:szCs w:val="16"/>
    </w:rPr>
  </w:style>
  <w:style w:type="character" w:styleId="FollowedHyperlink">
    <w:name w:val="FollowedHyperlink"/>
    <w:basedOn w:val="DefaultParagraphFont"/>
    <w:uiPriority w:val="99"/>
    <w:semiHidden/>
    <w:unhideWhenUsed/>
    <w:rsid w:val="006A5657"/>
    <w:rPr>
      <w:color w:val="800080" w:themeColor="followedHyperlink"/>
      <w:u w:val="single"/>
    </w:rPr>
  </w:style>
  <w:style w:type="character" w:customStyle="1" w:styleId="e24kjd">
    <w:name w:val="e24kjd"/>
    <w:basedOn w:val="DefaultParagraphFont"/>
    <w:rsid w:val="00C579B8"/>
  </w:style>
  <w:style w:type="character" w:styleId="CommentReference">
    <w:name w:val="annotation reference"/>
    <w:basedOn w:val="DefaultParagraphFont"/>
    <w:uiPriority w:val="99"/>
    <w:semiHidden/>
    <w:unhideWhenUsed/>
    <w:rsid w:val="00C06A95"/>
    <w:rPr>
      <w:sz w:val="16"/>
      <w:szCs w:val="16"/>
    </w:rPr>
  </w:style>
  <w:style w:type="paragraph" w:styleId="CommentText">
    <w:name w:val="annotation text"/>
    <w:basedOn w:val="Normal"/>
    <w:link w:val="CommentTextChar"/>
    <w:uiPriority w:val="99"/>
    <w:semiHidden/>
    <w:unhideWhenUsed/>
    <w:rsid w:val="00C06A95"/>
    <w:pPr>
      <w:spacing w:line="240" w:lineRule="auto"/>
    </w:pPr>
    <w:rPr>
      <w:sz w:val="20"/>
      <w:szCs w:val="20"/>
    </w:rPr>
  </w:style>
  <w:style w:type="character" w:customStyle="1" w:styleId="CommentTextChar">
    <w:name w:val="Comment Text Char"/>
    <w:basedOn w:val="DefaultParagraphFont"/>
    <w:link w:val="CommentText"/>
    <w:uiPriority w:val="99"/>
    <w:semiHidden/>
    <w:rsid w:val="00C06A95"/>
    <w:rPr>
      <w:sz w:val="20"/>
      <w:szCs w:val="20"/>
    </w:rPr>
  </w:style>
  <w:style w:type="paragraph" w:styleId="CommentSubject">
    <w:name w:val="annotation subject"/>
    <w:basedOn w:val="CommentText"/>
    <w:next w:val="CommentText"/>
    <w:link w:val="CommentSubjectChar"/>
    <w:uiPriority w:val="99"/>
    <w:semiHidden/>
    <w:unhideWhenUsed/>
    <w:rsid w:val="00C06A95"/>
    <w:rPr>
      <w:b/>
      <w:bCs/>
    </w:rPr>
  </w:style>
  <w:style w:type="character" w:customStyle="1" w:styleId="CommentSubjectChar">
    <w:name w:val="Comment Subject Char"/>
    <w:basedOn w:val="CommentTextChar"/>
    <w:link w:val="CommentSubject"/>
    <w:uiPriority w:val="99"/>
    <w:semiHidden/>
    <w:rsid w:val="00C06A95"/>
    <w:rPr>
      <w:b/>
      <w:bCs/>
      <w:sz w:val="20"/>
      <w:szCs w:val="20"/>
    </w:rPr>
  </w:style>
  <w:style w:type="paragraph" w:styleId="Revision">
    <w:name w:val="Revision"/>
    <w:hidden/>
    <w:uiPriority w:val="99"/>
    <w:semiHidden/>
    <w:rsid w:val="00C06A95"/>
    <w:pPr>
      <w:spacing w:after="0" w:line="240" w:lineRule="auto"/>
    </w:pPr>
  </w:style>
  <w:style w:type="character" w:customStyle="1" w:styleId="Heading2Char">
    <w:name w:val="Heading 2 Char"/>
    <w:basedOn w:val="DefaultParagraphFont"/>
    <w:link w:val="Heading2"/>
    <w:uiPriority w:val="9"/>
    <w:rsid w:val="001A35E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039E"/>
    <w:rPr>
      <w:rFonts w:asciiTheme="majorHAnsi" w:eastAsia="Times New Roman" w:hAnsiTheme="majorHAnsi" w:cstheme="majorBidi"/>
      <w:b/>
      <w:bCs/>
      <w:color w:val="365F91" w:themeColor="accent1" w:themeShade="BF"/>
      <w:sz w:val="28"/>
      <w:szCs w:val="28"/>
      <w:lang w:eastAsia="en-GB"/>
    </w:rPr>
  </w:style>
  <w:style w:type="paragraph" w:styleId="Title">
    <w:name w:val="Title"/>
    <w:basedOn w:val="Normal"/>
    <w:next w:val="Normal"/>
    <w:link w:val="TitleChar"/>
    <w:uiPriority w:val="6"/>
    <w:qFormat/>
    <w:rsid w:val="001A35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6"/>
    <w:rsid w:val="001A35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7"/>
    <w:qFormat/>
    <w:rsid w:val="001A35EF"/>
    <w:pPr>
      <w:numPr>
        <w:ilvl w:val="1"/>
      </w:numPr>
      <w:jc w:val="center"/>
    </w:pPr>
    <w:rPr>
      <w:rFonts w:asciiTheme="majorHAnsi" w:eastAsia="Times New Roman" w:hAnsiTheme="majorHAnsi" w:cstheme="majorBidi"/>
      <w:i/>
      <w:iCs/>
      <w:color w:val="4F81BD" w:themeColor="accent1"/>
      <w:spacing w:val="15"/>
      <w:sz w:val="28"/>
      <w:szCs w:val="28"/>
      <w:lang w:eastAsia="en-GB"/>
    </w:rPr>
  </w:style>
  <w:style w:type="character" w:customStyle="1" w:styleId="SubtitleChar">
    <w:name w:val="Subtitle Char"/>
    <w:basedOn w:val="DefaultParagraphFont"/>
    <w:link w:val="Subtitle"/>
    <w:uiPriority w:val="7"/>
    <w:rsid w:val="001A35EF"/>
    <w:rPr>
      <w:rFonts w:asciiTheme="majorHAnsi" w:eastAsia="Times New Roman" w:hAnsiTheme="majorHAnsi" w:cstheme="majorBidi"/>
      <w:i/>
      <w:iCs/>
      <w:color w:val="4F81BD" w:themeColor="accent1"/>
      <w:spacing w:val="15"/>
      <w:sz w:val="28"/>
      <w:szCs w:val="28"/>
      <w:lang w:eastAsia="en-GB"/>
    </w:rPr>
  </w:style>
  <w:style w:type="paragraph" w:styleId="Caption">
    <w:name w:val="caption"/>
    <w:basedOn w:val="Normal"/>
    <w:next w:val="Normal"/>
    <w:uiPriority w:val="35"/>
    <w:unhideWhenUsed/>
    <w:qFormat/>
    <w:rsid w:val="000F271D"/>
    <w:pPr>
      <w:keepNext/>
      <w:spacing w:after="0" w:line="240" w:lineRule="auto"/>
    </w:pPr>
    <w:rPr>
      <w:b/>
      <w:bCs/>
      <w:color w:val="4F81BD" w:themeColor="accent1"/>
      <w:sz w:val="18"/>
      <w:szCs w:val="18"/>
    </w:rPr>
  </w:style>
  <w:style w:type="table" w:styleId="LightShading-Accent4">
    <w:name w:val="Light Shading Accent 4"/>
    <w:basedOn w:val="TableNormal"/>
    <w:uiPriority w:val="60"/>
    <w:rsid w:val="00DC002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6Char">
    <w:name w:val="Heading 6 Char"/>
    <w:basedOn w:val="DefaultParagraphFont"/>
    <w:link w:val="Heading6"/>
    <w:uiPriority w:val="9"/>
    <w:semiHidden/>
    <w:rsid w:val="00D025DD"/>
    <w:rPr>
      <w:rFonts w:asciiTheme="majorHAnsi" w:eastAsiaTheme="majorEastAsia" w:hAnsiTheme="majorHAnsi" w:cstheme="majorBidi"/>
      <w:i/>
      <w:iCs/>
      <w:color w:val="243F60" w:themeColor="accent1" w:themeShade="7F"/>
      <w:sz w:val="24"/>
    </w:rPr>
  </w:style>
  <w:style w:type="paragraph" w:styleId="Date">
    <w:name w:val="Date"/>
    <w:basedOn w:val="Normal"/>
    <w:link w:val="DateChar"/>
    <w:uiPriority w:val="2"/>
    <w:qFormat/>
    <w:rsid w:val="00D025DD"/>
    <w:pPr>
      <w:spacing w:after="0"/>
      <w:jc w:val="center"/>
    </w:pPr>
    <w:rPr>
      <w:rFonts w:cs="Times New Roman"/>
      <w:color w:val="FFFFFF" w:themeColor="background1"/>
      <w:kern w:val="24"/>
      <w:sz w:val="32"/>
      <w:szCs w:val="23"/>
      <w:lang w:val="en-US"/>
      <w14:ligatures w14:val="standardContextual"/>
    </w:rPr>
  </w:style>
  <w:style w:type="character" w:customStyle="1" w:styleId="DateChar">
    <w:name w:val="Date Char"/>
    <w:basedOn w:val="DefaultParagraphFont"/>
    <w:link w:val="Date"/>
    <w:uiPriority w:val="2"/>
    <w:rsid w:val="00D025DD"/>
    <w:rPr>
      <w:rFonts w:cs="Times New Roman"/>
      <w:color w:val="FFFFFF" w:themeColor="background1"/>
      <w:kern w:val="24"/>
      <w:sz w:val="32"/>
      <w:szCs w:val="23"/>
      <w:lang w:val="en-US"/>
      <w14:ligatures w14:val="standardContextual"/>
    </w:rPr>
  </w:style>
  <w:style w:type="paragraph" w:customStyle="1" w:styleId="CoverPageTitle">
    <w:name w:val="Cover Page Title"/>
    <w:basedOn w:val="Normal"/>
    <w:uiPriority w:val="1"/>
    <w:qFormat/>
    <w:rsid w:val="00D025DD"/>
    <w:rPr>
      <w:rFonts w:asciiTheme="majorHAnsi" w:eastAsiaTheme="majorEastAsia" w:hAnsiTheme="majorHAnsi" w:cstheme="majorBidi"/>
      <w:caps/>
      <w:color w:val="1F497D" w:themeColor="text2"/>
      <w:kern w:val="24"/>
      <w:sz w:val="110"/>
      <w:szCs w:val="110"/>
      <w:lang w:val="en-US"/>
      <w14:ligatures w14:val="standardContextual"/>
    </w:rPr>
  </w:style>
  <w:style w:type="paragraph" w:customStyle="1" w:styleId="CoverPageSubtitle">
    <w:name w:val="Cover Page Subtitle"/>
    <w:basedOn w:val="Normal"/>
    <w:uiPriority w:val="3"/>
    <w:qFormat/>
    <w:rsid w:val="00D025DD"/>
    <w:pPr>
      <w:spacing w:after="0"/>
    </w:pPr>
    <w:rPr>
      <w:rFonts w:cs="Times New Roman"/>
      <w:color w:val="FFFFFF" w:themeColor="background1"/>
      <w:kern w:val="24"/>
      <w:sz w:val="40"/>
      <w:szCs w:val="40"/>
      <w:lang w:val="en-US"/>
      <w14:ligatures w14:val="standardContextual"/>
    </w:rPr>
  </w:style>
  <w:style w:type="table" w:styleId="TableGrid">
    <w:name w:val="Table Grid"/>
    <w:basedOn w:val="TableNormal"/>
    <w:uiPriority w:val="59"/>
    <w:rsid w:val="004C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4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D76"/>
    <w:rPr>
      <w:sz w:val="20"/>
      <w:szCs w:val="20"/>
    </w:rPr>
  </w:style>
  <w:style w:type="character" w:styleId="FootnoteReference">
    <w:name w:val="footnote reference"/>
    <w:basedOn w:val="DefaultParagraphFont"/>
    <w:uiPriority w:val="99"/>
    <w:unhideWhenUsed/>
    <w:rsid w:val="004C4D76"/>
    <w:rPr>
      <w:vertAlign w:val="superscript"/>
    </w:rPr>
  </w:style>
  <w:style w:type="paragraph" w:customStyle="1" w:styleId="Default">
    <w:name w:val="Default"/>
    <w:rsid w:val="004C4D76"/>
    <w:pPr>
      <w:autoSpaceDE w:val="0"/>
      <w:autoSpaceDN w:val="0"/>
      <w:adjustRightInd w:val="0"/>
      <w:spacing w:after="0" w:line="240" w:lineRule="auto"/>
    </w:pPr>
    <w:rPr>
      <w:rFonts w:ascii="HelveticaNeueLT Pro 55 Roman" w:eastAsia="Calibri" w:hAnsi="HelveticaNeueLT Pro 55 Roman" w:cs="HelveticaNeueLT Pro 55 Roman"/>
      <w:color w:val="000000"/>
      <w:sz w:val="24"/>
      <w:szCs w:val="24"/>
      <w:lang w:eastAsia="en-GB"/>
    </w:rPr>
  </w:style>
  <w:style w:type="paragraph" w:customStyle="1" w:styleId="Pa5">
    <w:name w:val="Pa5"/>
    <w:basedOn w:val="Default"/>
    <w:next w:val="Default"/>
    <w:uiPriority w:val="99"/>
    <w:rsid w:val="004C4D76"/>
    <w:pPr>
      <w:spacing w:line="261" w:lineRule="atLeast"/>
    </w:pPr>
    <w:rPr>
      <w:rFonts w:cs="Times New Roman"/>
      <w:color w:val="auto"/>
    </w:rPr>
  </w:style>
  <w:style w:type="character" w:customStyle="1" w:styleId="A8">
    <w:name w:val="A8"/>
    <w:uiPriority w:val="99"/>
    <w:rsid w:val="004C4D76"/>
    <w:rPr>
      <w:rFonts w:ascii="HelveticaNeueLT Pro 65 Md" w:hAnsi="HelveticaNeueLT Pro 65 Md" w:cs="HelveticaNeueLT Pro 65 Md"/>
      <w:b/>
      <w:bCs/>
      <w:color w:val="000000"/>
      <w:sz w:val="26"/>
      <w:szCs w:val="26"/>
      <w:u w:val="single"/>
    </w:rPr>
  </w:style>
  <w:style w:type="paragraph" w:customStyle="1" w:styleId="Pa7">
    <w:name w:val="Pa7"/>
    <w:basedOn w:val="Default"/>
    <w:next w:val="Default"/>
    <w:uiPriority w:val="99"/>
    <w:rsid w:val="004C4D76"/>
    <w:pPr>
      <w:spacing w:line="261" w:lineRule="atLeast"/>
    </w:pPr>
    <w:rPr>
      <w:rFonts w:cs="Times New Roman"/>
      <w:color w:val="auto"/>
    </w:rPr>
  </w:style>
  <w:style w:type="paragraph" w:customStyle="1" w:styleId="Pa8">
    <w:name w:val="Pa8"/>
    <w:basedOn w:val="Default"/>
    <w:next w:val="Default"/>
    <w:uiPriority w:val="99"/>
    <w:rsid w:val="004C4D76"/>
    <w:pPr>
      <w:spacing w:line="261" w:lineRule="atLeast"/>
    </w:pPr>
    <w:rPr>
      <w:rFonts w:cs="Times New Roman"/>
      <w:color w:val="auto"/>
    </w:rPr>
  </w:style>
  <w:style w:type="character" w:customStyle="1" w:styleId="A7">
    <w:name w:val="A7"/>
    <w:uiPriority w:val="99"/>
    <w:rsid w:val="004C4D76"/>
    <w:rPr>
      <w:rFonts w:cs="HelveticaNeueLT Pro 55 Roman"/>
      <w:color w:val="000000"/>
      <w:sz w:val="26"/>
      <w:szCs w:val="26"/>
    </w:rPr>
  </w:style>
  <w:style w:type="paragraph" w:styleId="NoSpacing">
    <w:name w:val="No Spacing"/>
    <w:uiPriority w:val="1"/>
    <w:qFormat/>
    <w:rsid w:val="004C4D76"/>
    <w:pPr>
      <w:spacing w:after="0" w:line="240" w:lineRule="auto"/>
    </w:pPr>
  </w:style>
  <w:style w:type="table" w:customStyle="1" w:styleId="TableGrid1">
    <w:name w:val="Table Grid1"/>
    <w:basedOn w:val="TableNormal"/>
    <w:next w:val="TableGrid"/>
    <w:uiPriority w:val="59"/>
    <w:rsid w:val="004C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C4D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4D76"/>
    <w:rPr>
      <w:sz w:val="20"/>
      <w:szCs w:val="20"/>
    </w:rPr>
  </w:style>
  <w:style w:type="character" w:styleId="EndnoteReference">
    <w:name w:val="endnote reference"/>
    <w:basedOn w:val="DefaultParagraphFont"/>
    <w:uiPriority w:val="99"/>
    <w:semiHidden/>
    <w:unhideWhenUsed/>
    <w:rsid w:val="004C4D76"/>
    <w:rPr>
      <w:vertAlign w:val="superscript"/>
    </w:rPr>
  </w:style>
  <w:style w:type="character" w:styleId="HTMLCite">
    <w:name w:val="HTML Cite"/>
    <w:basedOn w:val="DefaultParagraphFont"/>
    <w:uiPriority w:val="99"/>
    <w:semiHidden/>
    <w:unhideWhenUsed/>
    <w:rsid w:val="004C4D76"/>
    <w:rPr>
      <w:i w:val="0"/>
      <w:iCs w:val="0"/>
      <w:color w:val="006621"/>
    </w:rPr>
  </w:style>
  <w:style w:type="character" w:styleId="Strong">
    <w:name w:val="Strong"/>
    <w:basedOn w:val="DefaultParagraphFont"/>
    <w:uiPriority w:val="22"/>
    <w:qFormat/>
    <w:rsid w:val="004C4D76"/>
    <w:rPr>
      <w:b/>
      <w:bCs/>
    </w:rPr>
  </w:style>
  <w:style w:type="paragraph" w:styleId="Header">
    <w:name w:val="header"/>
    <w:basedOn w:val="Normal"/>
    <w:link w:val="HeaderChar"/>
    <w:uiPriority w:val="99"/>
    <w:unhideWhenUsed/>
    <w:rsid w:val="004C4D76"/>
    <w:pPr>
      <w:tabs>
        <w:tab w:val="center" w:pos="4513"/>
        <w:tab w:val="right" w:pos="9026"/>
      </w:tabs>
      <w:spacing w:after="0" w:line="240" w:lineRule="auto"/>
    </w:pPr>
    <w:rPr>
      <w:sz w:val="22"/>
    </w:rPr>
  </w:style>
  <w:style w:type="character" w:customStyle="1" w:styleId="HeaderChar">
    <w:name w:val="Header Char"/>
    <w:basedOn w:val="DefaultParagraphFont"/>
    <w:link w:val="Header"/>
    <w:uiPriority w:val="99"/>
    <w:rsid w:val="004C4D76"/>
  </w:style>
  <w:style w:type="paragraph" w:styleId="Footer">
    <w:name w:val="footer"/>
    <w:basedOn w:val="Normal"/>
    <w:link w:val="FooterChar"/>
    <w:uiPriority w:val="99"/>
    <w:unhideWhenUsed/>
    <w:rsid w:val="004C4D76"/>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4C4D76"/>
  </w:style>
  <w:style w:type="character" w:customStyle="1" w:styleId="Heading3Char">
    <w:name w:val="Heading 3 Char"/>
    <w:basedOn w:val="DefaultParagraphFont"/>
    <w:link w:val="Heading3"/>
    <w:uiPriority w:val="9"/>
    <w:rsid w:val="001E7F45"/>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336AEA"/>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22673">
      <w:bodyDiv w:val="1"/>
      <w:marLeft w:val="0"/>
      <w:marRight w:val="0"/>
      <w:marTop w:val="0"/>
      <w:marBottom w:val="0"/>
      <w:divBdr>
        <w:top w:val="none" w:sz="0" w:space="0" w:color="auto"/>
        <w:left w:val="none" w:sz="0" w:space="0" w:color="auto"/>
        <w:bottom w:val="none" w:sz="0" w:space="0" w:color="auto"/>
        <w:right w:val="none" w:sz="0" w:space="0" w:color="auto"/>
      </w:divBdr>
      <w:divsChild>
        <w:div w:id="1974946167">
          <w:marLeft w:val="547"/>
          <w:marRight w:val="0"/>
          <w:marTop w:val="91"/>
          <w:marBottom w:val="0"/>
          <w:divBdr>
            <w:top w:val="none" w:sz="0" w:space="0" w:color="auto"/>
            <w:left w:val="none" w:sz="0" w:space="0" w:color="auto"/>
            <w:bottom w:val="none" w:sz="0" w:space="0" w:color="auto"/>
            <w:right w:val="none" w:sz="0" w:space="0" w:color="auto"/>
          </w:divBdr>
        </w:div>
        <w:div w:id="1234851027">
          <w:marLeft w:val="547"/>
          <w:marRight w:val="0"/>
          <w:marTop w:val="91"/>
          <w:marBottom w:val="0"/>
          <w:divBdr>
            <w:top w:val="none" w:sz="0" w:space="0" w:color="auto"/>
            <w:left w:val="none" w:sz="0" w:space="0" w:color="auto"/>
            <w:bottom w:val="none" w:sz="0" w:space="0" w:color="auto"/>
            <w:right w:val="none" w:sz="0" w:space="0" w:color="auto"/>
          </w:divBdr>
        </w:div>
        <w:div w:id="550846549">
          <w:marLeft w:val="547"/>
          <w:marRight w:val="0"/>
          <w:marTop w:val="91"/>
          <w:marBottom w:val="0"/>
          <w:divBdr>
            <w:top w:val="none" w:sz="0" w:space="0" w:color="auto"/>
            <w:left w:val="none" w:sz="0" w:space="0" w:color="auto"/>
            <w:bottom w:val="none" w:sz="0" w:space="0" w:color="auto"/>
            <w:right w:val="none" w:sz="0" w:space="0" w:color="auto"/>
          </w:divBdr>
        </w:div>
        <w:div w:id="282158376">
          <w:marLeft w:val="547"/>
          <w:marRight w:val="0"/>
          <w:marTop w:val="91"/>
          <w:marBottom w:val="0"/>
          <w:divBdr>
            <w:top w:val="none" w:sz="0" w:space="0" w:color="auto"/>
            <w:left w:val="none" w:sz="0" w:space="0" w:color="auto"/>
            <w:bottom w:val="none" w:sz="0" w:space="0" w:color="auto"/>
            <w:right w:val="none" w:sz="0" w:space="0" w:color="auto"/>
          </w:divBdr>
        </w:div>
        <w:div w:id="907613639">
          <w:marLeft w:val="547"/>
          <w:marRight w:val="0"/>
          <w:marTop w:val="91"/>
          <w:marBottom w:val="0"/>
          <w:divBdr>
            <w:top w:val="none" w:sz="0" w:space="0" w:color="auto"/>
            <w:left w:val="none" w:sz="0" w:space="0" w:color="auto"/>
            <w:bottom w:val="none" w:sz="0" w:space="0" w:color="auto"/>
            <w:right w:val="none" w:sz="0" w:space="0" w:color="auto"/>
          </w:divBdr>
        </w:div>
      </w:divsChild>
    </w:div>
    <w:div w:id="309410354">
      <w:bodyDiv w:val="1"/>
      <w:marLeft w:val="0"/>
      <w:marRight w:val="0"/>
      <w:marTop w:val="0"/>
      <w:marBottom w:val="0"/>
      <w:divBdr>
        <w:top w:val="none" w:sz="0" w:space="0" w:color="auto"/>
        <w:left w:val="none" w:sz="0" w:space="0" w:color="auto"/>
        <w:bottom w:val="none" w:sz="0" w:space="0" w:color="auto"/>
        <w:right w:val="none" w:sz="0" w:space="0" w:color="auto"/>
      </w:divBdr>
    </w:div>
    <w:div w:id="327751908">
      <w:bodyDiv w:val="1"/>
      <w:marLeft w:val="0"/>
      <w:marRight w:val="0"/>
      <w:marTop w:val="0"/>
      <w:marBottom w:val="0"/>
      <w:divBdr>
        <w:top w:val="none" w:sz="0" w:space="0" w:color="auto"/>
        <w:left w:val="none" w:sz="0" w:space="0" w:color="auto"/>
        <w:bottom w:val="none" w:sz="0" w:space="0" w:color="auto"/>
        <w:right w:val="none" w:sz="0" w:space="0" w:color="auto"/>
      </w:divBdr>
    </w:div>
    <w:div w:id="342778534">
      <w:bodyDiv w:val="1"/>
      <w:marLeft w:val="0"/>
      <w:marRight w:val="0"/>
      <w:marTop w:val="0"/>
      <w:marBottom w:val="0"/>
      <w:divBdr>
        <w:top w:val="none" w:sz="0" w:space="0" w:color="auto"/>
        <w:left w:val="none" w:sz="0" w:space="0" w:color="auto"/>
        <w:bottom w:val="none" w:sz="0" w:space="0" w:color="auto"/>
        <w:right w:val="none" w:sz="0" w:space="0" w:color="auto"/>
      </w:divBdr>
    </w:div>
    <w:div w:id="494079385">
      <w:bodyDiv w:val="1"/>
      <w:marLeft w:val="0"/>
      <w:marRight w:val="0"/>
      <w:marTop w:val="0"/>
      <w:marBottom w:val="0"/>
      <w:divBdr>
        <w:top w:val="none" w:sz="0" w:space="0" w:color="auto"/>
        <w:left w:val="none" w:sz="0" w:space="0" w:color="auto"/>
        <w:bottom w:val="none" w:sz="0" w:space="0" w:color="auto"/>
        <w:right w:val="none" w:sz="0" w:space="0" w:color="auto"/>
      </w:divBdr>
    </w:div>
    <w:div w:id="528178400">
      <w:bodyDiv w:val="1"/>
      <w:marLeft w:val="0"/>
      <w:marRight w:val="0"/>
      <w:marTop w:val="0"/>
      <w:marBottom w:val="0"/>
      <w:divBdr>
        <w:top w:val="none" w:sz="0" w:space="0" w:color="auto"/>
        <w:left w:val="none" w:sz="0" w:space="0" w:color="auto"/>
        <w:bottom w:val="none" w:sz="0" w:space="0" w:color="auto"/>
        <w:right w:val="none" w:sz="0" w:space="0" w:color="auto"/>
      </w:divBdr>
    </w:div>
    <w:div w:id="635449530">
      <w:bodyDiv w:val="1"/>
      <w:marLeft w:val="0"/>
      <w:marRight w:val="0"/>
      <w:marTop w:val="0"/>
      <w:marBottom w:val="0"/>
      <w:divBdr>
        <w:top w:val="none" w:sz="0" w:space="0" w:color="auto"/>
        <w:left w:val="none" w:sz="0" w:space="0" w:color="auto"/>
        <w:bottom w:val="none" w:sz="0" w:space="0" w:color="auto"/>
        <w:right w:val="none" w:sz="0" w:space="0" w:color="auto"/>
      </w:divBdr>
    </w:div>
    <w:div w:id="711416891">
      <w:bodyDiv w:val="1"/>
      <w:marLeft w:val="0"/>
      <w:marRight w:val="0"/>
      <w:marTop w:val="0"/>
      <w:marBottom w:val="0"/>
      <w:divBdr>
        <w:top w:val="none" w:sz="0" w:space="0" w:color="auto"/>
        <w:left w:val="none" w:sz="0" w:space="0" w:color="auto"/>
        <w:bottom w:val="none" w:sz="0" w:space="0" w:color="auto"/>
        <w:right w:val="none" w:sz="0" w:space="0" w:color="auto"/>
      </w:divBdr>
    </w:div>
    <w:div w:id="800995051">
      <w:bodyDiv w:val="1"/>
      <w:marLeft w:val="0"/>
      <w:marRight w:val="0"/>
      <w:marTop w:val="0"/>
      <w:marBottom w:val="0"/>
      <w:divBdr>
        <w:top w:val="none" w:sz="0" w:space="0" w:color="auto"/>
        <w:left w:val="none" w:sz="0" w:space="0" w:color="auto"/>
        <w:bottom w:val="none" w:sz="0" w:space="0" w:color="auto"/>
        <w:right w:val="none" w:sz="0" w:space="0" w:color="auto"/>
      </w:divBdr>
    </w:div>
    <w:div w:id="857767272">
      <w:bodyDiv w:val="1"/>
      <w:marLeft w:val="0"/>
      <w:marRight w:val="0"/>
      <w:marTop w:val="0"/>
      <w:marBottom w:val="0"/>
      <w:divBdr>
        <w:top w:val="none" w:sz="0" w:space="0" w:color="auto"/>
        <w:left w:val="none" w:sz="0" w:space="0" w:color="auto"/>
        <w:bottom w:val="none" w:sz="0" w:space="0" w:color="auto"/>
        <w:right w:val="none" w:sz="0" w:space="0" w:color="auto"/>
      </w:divBdr>
    </w:div>
    <w:div w:id="862861559">
      <w:bodyDiv w:val="1"/>
      <w:marLeft w:val="0"/>
      <w:marRight w:val="0"/>
      <w:marTop w:val="0"/>
      <w:marBottom w:val="0"/>
      <w:divBdr>
        <w:top w:val="none" w:sz="0" w:space="0" w:color="auto"/>
        <w:left w:val="none" w:sz="0" w:space="0" w:color="auto"/>
        <w:bottom w:val="none" w:sz="0" w:space="0" w:color="auto"/>
        <w:right w:val="none" w:sz="0" w:space="0" w:color="auto"/>
      </w:divBdr>
    </w:div>
    <w:div w:id="978337193">
      <w:bodyDiv w:val="1"/>
      <w:marLeft w:val="0"/>
      <w:marRight w:val="0"/>
      <w:marTop w:val="0"/>
      <w:marBottom w:val="0"/>
      <w:divBdr>
        <w:top w:val="none" w:sz="0" w:space="0" w:color="auto"/>
        <w:left w:val="none" w:sz="0" w:space="0" w:color="auto"/>
        <w:bottom w:val="none" w:sz="0" w:space="0" w:color="auto"/>
        <w:right w:val="none" w:sz="0" w:space="0" w:color="auto"/>
      </w:divBdr>
    </w:div>
    <w:div w:id="1052774308">
      <w:bodyDiv w:val="1"/>
      <w:marLeft w:val="0"/>
      <w:marRight w:val="0"/>
      <w:marTop w:val="0"/>
      <w:marBottom w:val="0"/>
      <w:divBdr>
        <w:top w:val="none" w:sz="0" w:space="0" w:color="auto"/>
        <w:left w:val="none" w:sz="0" w:space="0" w:color="auto"/>
        <w:bottom w:val="none" w:sz="0" w:space="0" w:color="auto"/>
        <w:right w:val="none" w:sz="0" w:space="0" w:color="auto"/>
      </w:divBdr>
    </w:div>
    <w:div w:id="1089156770">
      <w:bodyDiv w:val="1"/>
      <w:marLeft w:val="0"/>
      <w:marRight w:val="0"/>
      <w:marTop w:val="0"/>
      <w:marBottom w:val="0"/>
      <w:divBdr>
        <w:top w:val="none" w:sz="0" w:space="0" w:color="auto"/>
        <w:left w:val="none" w:sz="0" w:space="0" w:color="auto"/>
        <w:bottom w:val="none" w:sz="0" w:space="0" w:color="auto"/>
        <w:right w:val="none" w:sz="0" w:space="0" w:color="auto"/>
      </w:divBdr>
    </w:div>
    <w:div w:id="1099912633">
      <w:bodyDiv w:val="1"/>
      <w:marLeft w:val="0"/>
      <w:marRight w:val="0"/>
      <w:marTop w:val="0"/>
      <w:marBottom w:val="0"/>
      <w:divBdr>
        <w:top w:val="none" w:sz="0" w:space="0" w:color="auto"/>
        <w:left w:val="none" w:sz="0" w:space="0" w:color="auto"/>
        <w:bottom w:val="none" w:sz="0" w:space="0" w:color="auto"/>
        <w:right w:val="none" w:sz="0" w:space="0" w:color="auto"/>
      </w:divBdr>
    </w:div>
    <w:div w:id="1205825150">
      <w:bodyDiv w:val="1"/>
      <w:marLeft w:val="0"/>
      <w:marRight w:val="0"/>
      <w:marTop w:val="0"/>
      <w:marBottom w:val="0"/>
      <w:divBdr>
        <w:top w:val="none" w:sz="0" w:space="0" w:color="auto"/>
        <w:left w:val="none" w:sz="0" w:space="0" w:color="auto"/>
        <w:bottom w:val="none" w:sz="0" w:space="0" w:color="auto"/>
        <w:right w:val="none" w:sz="0" w:space="0" w:color="auto"/>
      </w:divBdr>
    </w:div>
    <w:div w:id="1206989394">
      <w:bodyDiv w:val="1"/>
      <w:marLeft w:val="0"/>
      <w:marRight w:val="0"/>
      <w:marTop w:val="0"/>
      <w:marBottom w:val="0"/>
      <w:divBdr>
        <w:top w:val="none" w:sz="0" w:space="0" w:color="auto"/>
        <w:left w:val="none" w:sz="0" w:space="0" w:color="auto"/>
        <w:bottom w:val="none" w:sz="0" w:space="0" w:color="auto"/>
        <w:right w:val="none" w:sz="0" w:space="0" w:color="auto"/>
      </w:divBdr>
    </w:div>
    <w:div w:id="1333950938">
      <w:bodyDiv w:val="1"/>
      <w:marLeft w:val="0"/>
      <w:marRight w:val="0"/>
      <w:marTop w:val="0"/>
      <w:marBottom w:val="0"/>
      <w:divBdr>
        <w:top w:val="none" w:sz="0" w:space="0" w:color="auto"/>
        <w:left w:val="none" w:sz="0" w:space="0" w:color="auto"/>
        <w:bottom w:val="none" w:sz="0" w:space="0" w:color="auto"/>
        <w:right w:val="none" w:sz="0" w:space="0" w:color="auto"/>
      </w:divBdr>
    </w:div>
    <w:div w:id="1345132638">
      <w:bodyDiv w:val="1"/>
      <w:marLeft w:val="0"/>
      <w:marRight w:val="0"/>
      <w:marTop w:val="0"/>
      <w:marBottom w:val="0"/>
      <w:divBdr>
        <w:top w:val="none" w:sz="0" w:space="0" w:color="auto"/>
        <w:left w:val="none" w:sz="0" w:space="0" w:color="auto"/>
        <w:bottom w:val="none" w:sz="0" w:space="0" w:color="auto"/>
        <w:right w:val="none" w:sz="0" w:space="0" w:color="auto"/>
      </w:divBdr>
      <w:divsChild>
        <w:div w:id="1353385477">
          <w:marLeft w:val="547"/>
          <w:marRight w:val="0"/>
          <w:marTop w:val="72"/>
          <w:marBottom w:val="0"/>
          <w:divBdr>
            <w:top w:val="none" w:sz="0" w:space="0" w:color="auto"/>
            <w:left w:val="none" w:sz="0" w:space="0" w:color="auto"/>
            <w:bottom w:val="none" w:sz="0" w:space="0" w:color="auto"/>
            <w:right w:val="none" w:sz="0" w:space="0" w:color="auto"/>
          </w:divBdr>
        </w:div>
        <w:div w:id="454376884">
          <w:marLeft w:val="547"/>
          <w:marRight w:val="0"/>
          <w:marTop w:val="72"/>
          <w:marBottom w:val="0"/>
          <w:divBdr>
            <w:top w:val="none" w:sz="0" w:space="0" w:color="auto"/>
            <w:left w:val="none" w:sz="0" w:space="0" w:color="auto"/>
            <w:bottom w:val="none" w:sz="0" w:space="0" w:color="auto"/>
            <w:right w:val="none" w:sz="0" w:space="0" w:color="auto"/>
          </w:divBdr>
        </w:div>
        <w:div w:id="1003625166">
          <w:marLeft w:val="547"/>
          <w:marRight w:val="0"/>
          <w:marTop w:val="72"/>
          <w:marBottom w:val="0"/>
          <w:divBdr>
            <w:top w:val="none" w:sz="0" w:space="0" w:color="auto"/>
            <w:left w:val="none" w:sz="0" w:space="0" w:color="auto"/>
            <w:bottom w:val="none" w:sz="0" w:space="0" w:color="auto"/>
            <w:right w:val="none" w:sz="0" w:space="0" w:color="auto"/>
          </w:divBdr>
        </w:div>
        <w:div w:id="2066558841">
          <w:marLeft w:val="547"/>
          <w:marRight w:val="0"/>
          <w:marTop w:val="72"/>
          <w:marBottom w:val="0"/>
          <w:divBdr>
            <w:top w:val="none" w:sz="0" w:space="0" w:color="auto"/>
            <w:left w:val="none" w:sz="0" w:space="0" w:color="auto"/>
            <w:bottom w:val="none" w:sz="0" w:space="0" w:color="auto"/>
            <w:right w:val="none" w:sz="0" w:space="0" w:color="auto"/>
          </w:divBdr>
        </w:div>
      </w:divsChild>
    </w:div>
    <w:div w:id="1478760007">
      <w:bodyDiv w:val="1"/>
      <w:marLeft w:val="0"/>
      <w:marRight w:val="0"/>
      <w:marTop w:val="0"/>
      <w:marBottom w:val="0"/>
      <w:divBdr>
        <w:top w:val="none" w:sz="0" w:space="0" w:color="auto"/>
        <w:left w:val="none" w:sz="0" w:space="0" w:color="auto"/>
        <w:bottom w:val="none" w:sz="0" w:space="0" w:color="auto"/>
        <w:right w:val="none" w:sz="0" w:space="0" w:color="auto"/>
      </w:divBdr>
    </w:div>
    <w:div w:id="1601373041">
      <w:bodyDiv w:val="1"/>
      <w:marLeft w:val="0"/>
      <w:marRight w:val="0"/>
      <w:marTop w:val="0"/>
      <w:marBottom w:val="0"/>
      <w:divBdr>
        <w:top w:val="none" w:sz="0" w:space="0" w:color="auto"/>
        <w:left w:val="none" w:sz="0" w:space="0" w:color="auto"/>
        <w:bottom w:val="none" w:sz="0" w:space="0" w:color="auto"/>
        <w:right w:val="none" w:sz="0" w:space="0" w:color="auto"/>
      </w:divBdr>
    </w:div>
    <w:div w:id="1778794863">
      <w:bodyDiv w:val="1"/>
      <w:marLeft w:val="0"/>
      <w:marRight w:val="0"/>
      <w:marTop w:val="0"/>
      <w:marBottom w:val="0"/>
      <w:divBdr>
        <w:top w:val="none" w:sz="0" w:space="0" w:color="auto"/>
        <w:left w:val="none" w:sz="0" w:space="0" w:color="auto"/>
        <w:bottom w:val="none" w:sz="0" w:space="0" w:color="auto"/>
        <w:right w:val="none" w:sz="0" w:space="0" w:color="auto"/>
      </w:divBdr>
    </w:div>
    <w:div w:id="1781485091">
      <w:bodyDiv w:val="1"/>
      <w:marLeft w:val="0"/>
      <w:marRight w:val="0"/>
      <w:marTop w:val="0"/>
      <w:marBottom w:val="0"/>
      <w:divBdr>
        <w:top w:val="none" w:sz="0" w:space="0" w:color="auto"/>
        <w:left w:val="none" w:sz="0" w:space="0" w:color="auto"/>
        <w:bottom w:val="none" w:sz="0" w:space="0" w:color="auto"/>
        <w:right w:val="none" w:sz="0" w:space="0" w:color="auto"/>
      </w:divBdr>
    </w:div>
    <w:div w:id="1848908048">
      <w:bodyDiv w:val="1"/>
      <w:marLeft w:val="0"/>
      <w:marRight w:val="0"/>
      <w:marTop w:val="0"/>
      <w:marBottom w:val="0"/>
      <w:divBdr>
        <w:top w:val="none" w:sz="0" w:space="0" w:color="auto"/>
        <w:left w:val="none" w:sz="0" w:space="0" w:color="auto"/>
        <w:bottom w:val="none" w:sz="0" w:space="0" w:color="auto"/>
        <w:right w:val="none" w:sz="0" w:space="0" w:color="auto"/>
      </w:divBdr>
    </w:div>
    <w:div w:id="1885097810">
      <w:bodyDiv w:val="1"/>
      <w:marLeft w:val="0"/>
      <w:marRight w:val="0"/>
      <w:marTop w:val="0"/>
      <w:marBottom w:val="0"/>
      <w:divBdr>
        <w:top w:val="none" w:sz="0" w:space="0" w:color="auto"/>
        <w:left w:val="none" w:sz="0" w:space="0" w:color="auto"/>
        <w:bottom w:val="none" w:sz="0" w:space="0" w:color="auto"/>
        <w:right w:val="none" w:sz="0" w:space="0" w:color="auto"/>
      </w:divBdr>
    </w:div>
    <w:div w:id="1905217764">
      <w:bodyDiv w:val="1"/>
      <w:marLeft w:val="0"/>
      <w:marRight w:val="0"/>
      <w:marTop w:val="0"/>
      <w:marBottom w:val="0"/>
      <w:divBdr>
        <w:top w:val="none" w:sz="0" w:space="0" w:color="auto"/>
        <w:left w:val="none" w:sz="0" w:space="0" w:color="auto"/>
        <w:bottom w:val="none" w:sz="0" w:space="0" w:color="auto"/>
        <w:right w:val="none" w:sz="0" w:space="0" w:color="auto"/>
      </w:divBdr>
    </w:div>
    <w:div w:id="2048680299">
      <w:bodyDiv w:val="1"/>
      <w:marLeft w:val="0"/>
      <w:marRight w:val="0"/>
      <w:marTop w:val="0"/>
      <w:marBottom w:val="0"/>
      <w:divBdr>
        <w:top w:val="none" w:sz="0" w:space="0" w:color="auto"/>
        <w:left w:val="none" w:sz="0" w:space="0" w:color="auto"/>
        <w:bottom w:val="none" w:sz="0" w:space="0" w:color="auto"/>
        <w:right w:val="none" w:sz="0" w:space="0" w:color="auto"/>
      </w:divBdr>
      <w:divsChild>
        <w:div w:id="218398539">
          <w:marLeft w:val="547"/>
          <w:marRight w:val="0"/>
          <w:marTop w:val="72"/>
          <w:marBottom w:val="0"/>
          <w:divBdr>
            <w:top w:val="none" w:sz="0" w:space="0" w:color="auto"/>
            <w:left w:val="none" w:sz="0" w:space="0" w:color="auto"/>
            <w:bottom w:val="none" w:sz="0" w:space="0" w:color="auto"/>
            <w:right w:val="none" w:sz="0" w:space="0" w:color="auto"/>
          </w:divBdr>
        </w:div>
        <w:div w:id="1330478712">
          <w:marLeft w:val="547"/>
          <w:marRight w:val="0"/>
          <w:marTop w:val="72"/>
          <w:marBottom w:val="0"/>
          <w:divBdr>
            <w:top w:val="none" w:sz="0" w:space="0" w:color="auto"/>
            <w:left w:val="none" w:sz="0" w:space="0" w:color="auto"/>
            <w:bottom w:val="none" w:sz="0" w:space="0" w:color="auto"/>
            <w:right w:val="none" w:sz="0" w:space="0" w:color="auto"/>
          </w:divBdr>
        </w:div>
        <w:div w:id="467482374">
          <w:marLeft w:val="547"/>
          <w:marRight w:val="0"/>
          <w:marTop w:val="72"/>
          <w:marBottom w:val="0"/>
          <w:divBdr>
            <w:top w:val="none" w:sz="0" w:space="0" w:color="auto"/>
            <w:left w:val="none" w:sz="0" w:space="0" w:color="auto"/>
            <w:bottom w:val="none" w:sz="0" w:space="0" w:color="auto"/>
            <w:right w:val="none" w:sz="0" w:space="0" w:color="auto"/>
          </w:divBdr>
        </w:div>
        <w:div w:id="856387742">
          <w:marLeft w:val="547"/>
          <w:marRight w:val="0"/>
          <w:marTop w:val="72"/>
          <w:marBottom w:val="0"/>
          <w:divBdr>
            <w:top w:val="none" w:sz="0" w:space="0" w:color="auto"/>
            <w:left w:val="none" w:sz="0" w:space="0" w:color="auto"/>
            <w:bottom w:val="none" w:sz="0" w:space="0" w:color="auto"/>
            <w:right w:val="none" w:sz="0" w:space="0" w:color="auto"/>
          </w:divBdr>
        </w:div>
      </w:divsChild>
    </w:div>
    <w:div w:id="2050448058">
      <w:bodyDiv w:val="1"/>
      <w:marLeft w:val="0"/>
      <w:marRight w:val="0"/>
      <w:marTop w:val="0"/>
      <w:marBottom w:val="0"/>
      <w:divBdr>
        <w:top w:val="none" w:sz="0" w:space="0" w:color="auto"/>
        <w:left w:val="none" w:sz="0" w:space="0" w:color="auto"/>
        <w:bottom w:val="none" w:sz="0" w:space="0" w:color="auto"/>
        <w:right w:val="none" w:sz="0" w:space="0" w:color="auto"/>
      </w:divBdr>
    </w:div>
    <w:div w:id="2052613166">
      <w:bodyDiv w:val="1"/>
      <w:marLeft w:val="0"/>
      <w:marRight w:val="0"/>
      <w:marTop w:val="0"/>
      <w:marBottom w:val="0"/>
      <w:divBdr>
        <w:top w:val="none" w:sz="0" w:space="0" w:color="auto"/>
        <w:left w:val="none" w:sz="0" w:space="0" w:color="auto"/>
        <w:bottom w:val="none" w:sz="0" w:space="0" w:color="auto"/>
        <w:right w:val="none" w:sz="0" w:space="0" w:color="auto"/>
      </w:divBdr>
    </w:div>
    <w:div w:id="2078241890">
      <w:bodyDiv w:val="1"/>
      <w:marLeft w:val="0"/>
      <w:marRight w:val="0"/>
      <w:marTop w:val="0"/>
      <w:marBottom w:val="0"/>
      <w:divBdr>
        <w:top w:val="none" w:sz="0" w:space="0" w:color="auto"/>
        <w:left w:val="none" w:sz="0" w:space="0" w:color="auto"/>
        <w:bottom w:val="none" w:sz="0" w:space="0" w:color="auto"/>
        <w:right w:val="none" w:sz="0" w:space="0" w:color="auto"/>
      </w:divBdr>
    </w:div>
    <w:div w:id="21102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hyperlink" Target="http://www.nwlondonsexualhealth.nhs.uk" TargetMode="External"/><Relationship Id="rId39" Type="http://schemas.openxmlformats.org/officeDocument/2006/relationships/hyperlink" Target="https://talkingtherapies.cnwl.nhs.uk/harrow" TargetMode="External"/><Relationship Id="rId21" Type="http://schemas.openxmlformats.org/officeDocument/2006/relationships/image" Target="media/image9.png"/><Relationship Id="rId34" Type="http://schemas.openxmlformats.org/officeDocument/2006/relationships/hyperlink" Target="http://www.elefriends.org.uk" TargetMode="External"/><Relationship Id="rId42" Type="http://schemas.openxmlformats.org/officeDocument/2006/relationships/hyperlink" Target="mailto:admin@bereavementcareandsupport.co.uk" TargetMode="External"/><Relationship Id="rId47" Type="http://schemas.openxmlformats.org/officeDocument/2006/relationships/hyperlink" Target="https://mail.harrow.gov.uk/owa/redir.aspx?C=BTtSyZbgVm6Y1nkL2nZIUFcFdBGHvdZWDrWf8PzFBpSqYhheW_7XCA..&amp;URL=mailto%3aidva.harrow%40hestia.org" TargetMode="External"/><Relationship Id="rId50" Type="http://schemas.openxmlformats.org/officeDocument/2006/relationships/hyperlink" Target="http://www.gov.uk/domestic-abuse" TargetMode="External"/><Relationship Id="rId55" Type="http://schemas.openxmlformats.org/officeDocument/2006/relationships/hyperlink" Target="https://www.capt.org.uk/Listing/Category/safety-in-lockdow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www.letstalkloneliness.co.uk/" TargetMode="External"/><Relationship Id="rId38" Type="http://schemas.openxmlformats.org/officeDocument/2006/relationships/hyperlink" Target="http://www.harrow.gov.uk/stuckathome" TargetMode="External"/><Relationship Id="rId46" Type="http://schemas.openxmlformats.org/officeDocument/2006/relationships/hyperlink" Target="https://www.harrow.gov.uk/bereavement"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mailto:adminharrow@compass-uk.org" TargetMode="External"/><Relationship Id="rId41" Type="http://schemas.openxmlformats.org/officeDocument/2006/relationships/hyperlink" Target="http://www.facebook.com/HarrowTT/" TargetMode="External"/><Relationship Id="rId54" Type="http://schemas.openxmlformats.org/officeDocument/2006/relationships/hyperlink" Target="https://www.harrow.gov.uk/events/event/10630/distancing-tai-chi-sessions-live-stream-via-fb-grou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7" Type="http://schemas.openxmlformats.org/officeDocument/2006/relationships/hyperlink" Target="https://www.samaritans.org/how-we-can-help/" TargetMode="External"/><Relationship Id="rId40" Type="http://schemas.openxmlformats.org/officeDocument/2006/relationships/hyperlink" Target="mailto:Harrow.iapt@nhs.net" TargetMode="External"/><Relationship Id="rId45" Type="http://schemas.openxmlformats.org/officeDocument/2006/relationships/hyperlink" Target="https://www.harrowlocaloffer.co.uk/services/education/educational-psychology-service" TargetMode="External"/><Relationship Id="rId53" Type="http://schemas.openxmlformats.org/officeDocument/2006/relationships/hyperlink" Target="https://www.shapeupherts.com/do-i-qualify"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mailto:HarrowStopSmoking@wdp.org.uk" TargetMode="External"/><Relationship Id="rId36" Type="http://schemas.openxmlformats.org/officeDocument/2006/relationships/hyperlink" Target="http://www.independentage.org" TargetMode="External"/><Relationship Id="rId49" Type="http://schemas.openxmlformats.org/officeDocument/2006/relationships/hyperlink" Target="https://www.harrow.gov.uk/adult-social-care/staying-safe" TargetMode="External"/><Relationship Id="rId57" Type="http://schemas.openxmlformats.org/officeDocument/2006/relationships/image" Target="media/image15.jpe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futurelearn.com/courses/psychological-first-aid-covid-19" TargetMode="External"/><Relationship Id="rId44" Type="http://schemas.openxmlformats.org/officeDocument/2006/relationships/hyperlink" Target="http://www.winstonswish.org" TargetMode="External"/><Relationship Id="rId52" Type="http://schemas.openxmlformats.org/officeDocument/2006/relationships/hyperlink" Target="https://www.nhs.uk/oneyou/"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mailto:harrow@wdp.org.uk" TargetMode="External"/><Relationship Id="rId30" Type="http://schemas.openxmlformats.org/officeDocument/2006/relationships/hyperlink" Target="http://directory.mindinharrow.org.uk" TargetMode="External"/><Relationship Id="rId35" Type="http://schemas.openxmlformats.org/officeDocument/2006/relationships/hyperlink" Target="http://www.thesilverline.org.uk" TargetMode="External"/><Relationship Id="rId43" Type="http://schemas.openxmlformats.org/officeDocument/2006/relationships/hyperlink" Target="https://www.childbereavementuk.org/" TargetMode="External"/><Relationship Id="rId48" Type="http://schemas.openxmlformats.org/officeDocument/2006/relationships/hyperlink" Target="https://www.hestia.org/domestic-abuse" TargetMode="External"/><Relationship Id="rId56" Type="http://schemas.openxmlformats.org/officeDocument/2006/relationships/image" Target="media/image14.png"/><Relationship Id="rId8" Type="http://schemas.openxmlformats.org/officeDocument/2006/relationships/settings" Target="settings.xml"/><Relationship Id="rId51" Type="http://schemas.openxmlformats.org/officeDocument/2006/relationships/hyperlink" Target="https://www.harrow.gov.uk/adult-social-care/staying-safe" TargetMode="Externa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3" Type="http://schemas.openxmlformats.org/officeDocument/2006/relationships/hyperlink" Target="https://www.gponline.com/millions-patients-avoiding-calls-gp-during-covid-19-pandemic/article/1681384" TargetMode="External"/><Relationship Id="rId18" Type="http://schemas.openxmlformats.org/officeDocument/2006/relationships/hyperlink" Target="https://doi.org/10.1016/S2215-0366(20)30168-1" TargetMode="External"/><Relationship Id="rId26" Type="http://schemas.openxmlformats.org/officeDocument/2006/relationships/hyperlink" Target="https://www.scmh.org.uk/publications/life_chances.aspx?ID=596" TargetMode="External"/><Relationship Id="rId39" Type="http://schemas.openxmlformats.org/officeDocument/2006/relationships/hyperlink" Target="https://www.rcpsych.ac.uk/mental-health/problems-disorders/bereavement" TargetMode="External"/><Relationship Id="rId21" Type="http://schemas.openxmlformats.org/officeDocument/2006/relationships/hyperlink" Target="https://www.cnwl.nhs.uk/services/community-services/harrow-school-health-service" TargetMode="External"/><Relationship Id="rId34" Type="http://schemas.openxmlformats.org/officeDocument/2006/relationships/hyperlink" Target="https://www.campaigntoendloneliness.org/threat-to-health/" TargetMode="External"/><Relationship Id="rId42" Type="http://schemas.openxmlformats.org/officeDocument/2006/relationships/hyperlink" Target="https://www.childbereavementuk.org/supporting-bereaved-children-and-young-people" TargetMode="External"/><Relationship Id="rId47" Type="http://schemas.openxmlformats.org/officeDocument/2006/relationships/hyperlink" Target="https://www.reducingtherisk.org.uk/cms/content/identifying-risk-indicators" TargetMode="External"/><Relationship Id="rId50" Type="http://schemas.openxmlformats.org/officeDocument/2006/relationships/hyperlink" Target="https://learning.nspcc.org.uk/media/2195/what-children-are-saying-to-childline-about-coronavirus.pdf" TargetMode="External"/><Relationship Id="rId55" Type="http://schemas.openxmlformats.org/officeDocument/2006/relationships/hyperlink" Target="https://fingertips.phe.org.uk/public-health-outcomes-framework" TargetMode="External"/><Relationship Id="rId63" Type="http://schemas.openxmlformats.org/officeDocument/2006/relationships/hyperlink" Target="https://fingertips.phe.org.uk/profile/local-alcohol-profiles" TargetMode="External"/><Relationship Id="rId68" Type="http://schemas.openxmlformats.org/officeDocument/2006/relationships/hyperlink" Target="https://capt.org.uk/news/preventing-accidents-in-the-home" TargetMode="External"/><Relationship Id="rId7" Type="http://schemas.openxmlformats.org/officeDocument/2006/relationships/hyperlink" Target="https://doi.org/10.4103/jfmpc.jfmpc_893_19" TargetMode="External"/><Relationship Id="rId71" Type="http://schemas.openxmlformats.org/officeDocument/2006/relationships/hyperlink" Target="https://www.gov.uk/government/publications/immunisation-schedule-the-green-book-chapter-11" TargetMode="External"/><Relationship Id="rId2" Type="http://schemas.openxmlformats.org/officeDocument/2006/relationships/hyperlink" Target="https://coronavirus.data.gov.uk/" TargetMode="External"/><Relationship Id="rId16" Type="http://schemas.openxmlformats.org/officeDocument/2006/relationships/hyperlink" Target="https://www.rcgp.org.uk/about-us/news/2020/april/risk-of-serious-consequences-if-non-covid-conditions-unmanaged-or-untreated-warns-college.aspx" TargetMode="External"/><Relationship Id="rId29" Type="http://schemas.openxmlformats.org/officeDocument/2006/relationships/hyperlink" Target="https://who.int/mental_health/evidence/en/promoting_mhh.pdf" TargetMode="External"/><Relationship Id="rId11" Type="http://schemas.openxmlformats.org/officeDocument/2006/relationships/hyperlink" Target="https://publications.parliament.uk/pa/cm5801/cmselect/cmhaff/321/321.pdf" TargetMode="External"/><Relationship Id="rId24" Type="http://schemas.openxmlformats.org/officeDocument/2006/relationships/hyperlink" Target="https://files.digital.nhs.uk/pdf/q/3/mental_health_and_wellbeing_in_england_full_report.pdf" TargetMode="External"/><Relationship Id="rId32" Type="http://schemas.openxmlformats.org/officeDocument/2006/relationships/hyperlink" Target="https://mind.org.uk/news-campaigns/news/mental-health-charity-mind-finds-that-nearly-a-quarter-of-people-have-not-been-able-to-access-mental-health-services-in-the-last-two-weeks/" TargetMode="External"/><Relationship Id="rId37" Type="http://schemas.openxmlformats.org/officeDocument/2006/relationships/hyperlink" Target="https://www.letstalkloneliness.co.uk/new-government-launches-plan-to-tackle-loneliness-during-coronavirus-lockdown/" TargetMode="External"/><Relationship Id="rId40" Type="http://schemas.openxmlformats.org/officeDocument/2006/relationships/hyperlink" Target="https://www.ons.gov.uk/peoplepopulationandcommunity/healthandsocialcare/causesofdeath/datasets/deathregistrationsandoccurrencesbylocalauthorityandhealthboard" TargetMode="External"/><Relationship Id="rId45" Type="http://schemas.openxmlformats.org/officeDocument/2006/relationships/hyperlink" Target="https://www.womensaid.org.uk/information-support/what-is-domestic-abuse/" TargetMode="External"/><Relationship Id="rId53" Type="http://schemas.openxmlformats.org/officeDocument/2006/relationships/hyperlink" Target="https://www.hestia.org/news/morrisons-opens-safe-spaces-for-those-experiencing-domestic-abuse" TargetMode="External"/><Relationship Id="rId58" Type="http://schemas.openxmlformats.org/officeDocument/2006/relationships/hyperlink" Target="https://fingertips.phe.org.uk/public-health-outcomes-framework" TargetMode="External"/><Relationship Id="rId66" Type="http://schemas.openxmlformats.org/officeDocument/2006/relationships/hyperlink" Target="https://www.gov.uk/government/publications/alcohol-consumption-advice-on-low-risk-drinking" TargetMode="External"/><Relationship Id="rId74" Type="http://schemas.openxmlformats.org/officeDocument/2006/relationships/hyperlink" Target="https://fingertips.phe.org.uk/profile/child-health-profiles/data" TargetMode="External"/><Relationship Id="rId5" Type="http://schemas.openxmlformats.org/officeDocument/2006/relationships/hyperlink" Target="https://doi.org/10.3390/ijerph17062032" TargetMode="External"/><Relationship Id="rId15" Type="http://schemas.openxmlformats.org/officeDocument/2006/relationships/hyperlink" Target="https://www.gov.uk/government/collections/syndromic-surveillance-systems-and-analyses" TargetMode="External"/><Relationship Id="rId23" Type="http://schemas.openxmlformats.org/officeDocument/2006/relationships/hyperlink" Target="https://england.nhs.uk/mental-health/about/" TargetMode="External"/><Relationship Id="rId28" Type="http://schemas.openxmlformats.org/officeDocument/2006/relationships/hyperlink" Target="https://www.mentalhealth.org.uk/publications/fundamental-facts-about-mental-health-2016" TargetMode="External"/><Relationship Id="rId36" Type="http://schemas.openxmlformats.org/officeDocument/2006/relationships/hyperlink" Target="https://patient.info/news-and-features/covid-19-how-to-cope-with-loneliness-during-the-coronavirus-pandemic" TargetMode="External"/><Relationship Id="rId49" Type="http://schemas.openxmlformats.org/officeDocument/2006/relationships/hyperlink" Target="https://publications.parliament.uk/pa/cm5801/cmselect/cmhaff/321/321.pdf" TargetMode="External"/><Relationship Id="rId57" Type="http://schemas.openxmlformats.org/officeDocument/2006/relationships/hyperlink" Target="https://www.gov.uk/government/publications/physical-activity-guidelines-uk-chief-medical-officers-report" TargetMode="External"/><Relationship Id="rId61" Type="http://schemas.openxmlformats.org/officeDocument/2006/relationships/hyperlink" Target="https://www.nhs.uk/conditions/alcohol-misuse/" TargetMode="External"/><Relationship Id="rId10" Type="http://schemas.openxmlformats.org/officeDocument/2006/relationships/hyperlink" Target="https://www.kcl.ac.uk/news/life-under-lockdown-coronavirus-in-the-uk" TargetMode="External"/><Relationship Id="rId19" Type="http://schemas.openxmlformats.org/officeDocument/2006/relationships/hyperlink" Target="http://www.euro.who.int/en/health-topics/health-emergencies/coronavirus-covid-19/novel-coronavirus-2019-ncov-technical-guidance-OLD/coronavirus-disease-covid-19-outbreak-technical-guidance-europe-OLD/mental-health-and-covid-19" TargetMode="External"/><Relationship Id="rId31" Type="http://schemas.openxmlformats.org/officeDocument/2006/relationships/hyperlink" Target="https://www.kcl.ac.uk/news/life-under-lockdown-coronavirus-in-the-uk" TargetMode="External"/><Relationship Id="rId44" Type="http://schemas.openxmlformats.org/officeDocument/2006/relationships/hyperlink" Target="https://www.gov.uk/guidance/domestic-abuse-how-to-get-help" TargetMode="External"/><Relationship Id="rId52" Type="http://schemas.openxmlformats.org/officeDocument/2006/relationships/hyperlink" Target="https://www.hestia.org/news/superdrug-join-safe-spaces-scheme-for-victims-of-domestic-abuse-almost-a-quarter-of-all-uk-pharmacies-now-taking-part" TargetMode="External"/><Relationship Id="rId60" Type="http://schemas.openxmlformats.org/officeDocument/2006/relationships/hyperlink" Target="https://www.nice.org.uk/guidance/cg115" TargetMode="External"/><Relationship Id="rId65" Type="http://schemas.openxmlformats.org/officeDocument/2006/relationships/hyperlink" Target="https://www.alcoholchange.org.uk/blog/2020/covid19-drinking-during-lockdown-headline-findings" TargetMode="External"/><Relationship Id="rId73" Type="http://schemas.openxmlformats.org/officeDocument/2006/relationships/hyperlink" Target="https://www.rcn.org.uk/-/media/royal-college-of-nursing/documents/clinical-topics/public-health/maintaining-the-national-immunisation-schedule-during-covid-19.pdf?la=en&amp;hash=7F5D4E8A84C84E9AD1640B1A5A4A99BF" TargetMode="External"/><Relationship Id="rId4" Type="http://schemas.openxmlformats.org/officeDocument/2006/relationships/hyperlink" Target="https://doi.org/10.3390/ijerph17051729" TargetMode="External"/><Relationship Id="rId9" Type="http://schemas.openxmlformats.org/officeDocument/2006/relationships/hyperlink" Target="http://www.acmedsci.ac.uk/COVIDmentalhealthsurveys" TargetMode="External"/><Relationship Id="rId14" Type="http://schemas.openxmlformats.org/officeDocument/2006/relationships/hyperlink" Target="https://www.england.nhs.uk/statistics/statistical-work-areas/ae-waiting-times-and-activity/" TargetMode="External"/><Relationship Id="rId22" Type="http://schemas.openxmlformats.org/officeDocument/2006/relationships/hyperlink" Target="https://www.england.nhs.uk/coronavirus/wp-content/uploads/sites/52/2020/03/C0145-COVID-19-prioritisation-within-community-health-services-1-April-2020.pdf" TargetMode="External"/><Relationship Id="rId27" Type="http://schemas.openxmlformats.org/officeDocument/2006/relationships/hyperlink" Target="https://nice.org.uk/guidance/qs50/documents/mental-wellbeing-of-older-people-in-care-homes-briefing-paper2" TargetMode="External"/><Relationship Id="rId30" Type="http://schemas.openxmlformats.org/officeDocument/2006/relationships/hyperlink" Target="http://www.acmedsci.ac.uk/COVIDmentalhealthsurveys" TargetMode="External"/><Relationship Id="rId35" Type="http://schemas.openxmlformats.org/officeDocument/2006/relationships/hyperlink" Target="https://www.mentalhealth.org.uk/coronavirus/coping-with-loneliness" TargetMode="External"/><Relationship Id="rId43" Type="http://schemas.openxmlformats.org/officeDocument/2006/relationships/hyperlink" Target="https://www.cruse.org.uk/get-help/for-parents/how-to-help-a-child-or-young-person" TargetMode="External"/><Relationship Id="rId48" Type="http://schemas.openxmlformats.org/officeDocument/2006/relationships/hyperlink" Target="https://www.ons.gov.uk/peoplepopulationandcommunity/crimeandjustice/bulletins/domesticabuseinenglandandwalesoverview/november2019" TargetMode="External"/><Relationship Id="rId56" Type="http://schemas.openxmlformats.org/officeDocument/2006/relationships/hyperlink" Target="https://www.gov.uk/government/publications/everybody-active-every-day-a-framework-to-embed-physical-activity-into-daily-life" TargetMode="External"/><Relationship Id="rId64" Type="http://schemas.openxmlformats.org/officeDocument/2006/relationships/hyperlink" Target="https://www.kcl.ac.uk/news/life-under-lockdown-coronavirus-in-the-uk" TargetMode="External"/><Relationship Id="rId69" Type="http://schemas.openxmlformats.org/officeDocument/2006/relationships/hyperlink" Target="https://rcni.com/emergency-nurse/newsroom/analysis/covid-19-how-lockdown-affects-childrens-risk-of-home-accident-injury-161116" TargetMode="External"/><Relationship Id="rId8" Type="http://schemas.openxmlformats.org/officeDocument/2006/relationships/hyperlink" Target="https://doi.org/10.1016/S0140-6736(20)30460-8" TargetMode="External"/><Relationship Id="rId51" Type="http://schemas.openxmlformats.org/officeDocument/2006/relationships/hyperlink" Target="https://www.hestia.org/news/press-release-campaign-launches-safe-space-in-boots-stores-for-victims-of-domestic-abuse-across-the-uk" TargetMode="External"/><Relationship Id="rId72" Type="http://schemas.openxmlformats.org/officeDocument/2006/relationships/hyperlink" Target="https://www.gov.uk/government/publications/vaccines-throughout-life-infographic" TargetMode="External"/><Relationship Id="rId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2" Type="http://schemas.openxmlformats.org/officeDocument/2006/relationships/hyperlink" Target="https://www.health.org.uk/news-and-comment/blogs/covid-19-five-dimensions-of-impact" TargetMode="External"/><Relationship Id="rId17" Type="http://schemas.openxmlformats.org/officeDocument/2006/relationships/hyperlink" Target="https://www.rcgp.org.uk/-/media/Files/Policy/A-Z-policy/2020/covid19/RCGP-guidance/202003233RCGPGuidanceprioritisationroutineworkduringCovidFINAL.ashx?la=en" TargetMode="External"/><Relationship Id="rId25" Type="http://schemas.openxmlformats.org/officeDocument/2006/relationships/hyperlink" Target="https://digital.nhs.uk/data-and-information/publications/statistical/mental-health-of-children-and-young-people-in-england/2017/2017" TargetMode="External"/><Relationship Id="rId33" Type="http://schemas.openxmlformats.org/officeDocument/2006/relationships/hyperlink" Target="https://www.mind.org.uk/information-support/tips-for-everyday-living/loneliness/about-loneliness/" TargetMode="External"/><Relationship Id="rId38" Type="http://schemas.openxmlformats.org/officeDocument/2006/relationships/hyperlink" Target="https://www.mind.org.uk/information-support/guides-to-support-and-services/bereavement" TargetMode="External"/><Relationship Id="rId46" Type="http://schemas.openxmlformats.org/officeDocument/2006/relationships/hyperlink" Target="https://www.refuge.org.uk/get-help-now/recognising-abuse/" TargetMode="External"/><Relationship Id="rId59" Type="http://schemas.openxmlformats.org/officeDocument/2006/relationships/hyperlink" Target="https://www.sportengland.org/news/new-exercise-habits-forming-during-coronavirus-crisis" TargetMode="External"/><Relationship Id="rId67" Type="http://schemas.openxmlformats.org/officeDocument/2006/relationships/hyperlink" Target="https://fingertips.phe.org.uk/profile/child-health-profiles/data" TargetMode="External"/><Relationship Id="rId20" Type="http://schemas.openxmlformats.org/officeDocument/2006/relationships/hyperlink" Target="https://www.cnwl.nhs.uk/services/community-services/harrow-health-visiting-service" TargetMode="External"/><Relationship Id="rId41" Type="http://schemas.openxmlformats.org/officeDocument/2006/relationships/hyperlink" Target="https://www.bps.org.uk/sites/www.bps.org.uk/files/Policy/Policy%20-%20Files/Supporting%20yourself%20and%20others.pdf" TargetMode="External"/><Relationship Id="rId54" Type="http://schemas.openxmlformats.org/officeDocument/2006/relationships/hyperlink" Target="https://www.nhs.uk/conditions/obesity/" TargetMode="External"/><Relationship Id="rId62" Type="http://schemas.openxmlformats.org/officeDocument/2006/relationships/hyperlink" Target="https://www.gov.uk/government/publications/the-public-health-burden-of-alcohol-evidence-review" TargetMode="External"/><Relationship Id="rId70" Type="http://schemas.openxmlformats.org/officeDocument/2006/relationships/hyperlink" Target="https://www.gov.uk/government/publications/vaccines-work-infographic" TargetMode="External"/><Relationship Id="rId1" Type="http://schemas.openxmlformats.org/officeDocument/2006/relationships/hyperlink" Target="https://www.who.int/emergencies/diseases/novel-coronavirus-2019" TargetMode="External"/><Relationship Id="rId6" Type="http://schemas.openxmlformats.org/officeDocument/2006/relationships/hyperlink" Target="https://doi.org/10.1177/00207640209152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D03A71F2D1465C9765FBE3F8A79C0B"/>
        <w:category>
          <w:name w:val="General"/>
          <w:gallery w:val="placeholder"/>
        </w:category>
        <w:types>
          <w:type w:val="bbPlcHdr"/>
        </w:types>
        <w:behaviors>
          <w:behavior w:val="content"/>
        </w:behaviors>
        <w:guid w:val="{433BA46F-A10E-46F3-A07F-B98638BBCC5A}"/>
      </w:docPartPr>
      <w:docPartBody>
        <w:p w:rsidR="002D572A" w:rsidRDefault="00576374" w:rsidP="00576374">
          <w:pPr>
            <w:pStyle w:val="E1D03A71F2D1465C9765FBE3F8A79C0B"/>
          </w:pPr>
          <w:r w:rsidRPr="009213CD">
            <w:t>title</w:t>
          </w:r>
        </w:p>
      </w:docPartBody>
    </w:docPart>
    <w:docPart>
      <w:docPartPr>
        <w:name w:val="F75B6FFC08E04F8182BDC5867C36F6D8"/>
        <w:category>
          <w:name w:val="General"/>
          <w:gallery w:val="placeholder"/>
        </w:category>
        <w:types>
          <w:type w:val="bbPlcHdr"/>
        </w:types>
        <w:behaviors>
          <w:behavior w:val="content"/>
        </w:behaviors>
        <w:guid w:val="{747EBF13-0A0F-44FD-A3DA-A275A3AFDF59}"/>
      </w:docPartPr>
      <w:docPartBody>
        <w:p w:rsidR="002D572A" w:rsidRDefault="00576374" w:rsidP="00576374">
          <w:pPr>
            <w:pStyle w:val="F75B6FFC08E04F8182BDC5867C36F6D8"/>
          </w:pPr>
          <w:r w:rsidRPr="00A5429D">
            <w:t>Subtitle</w:t>
          </w:r>
        </w:p>
      </w:docPartBody>
    </w:docPart>
    <w:docPart>
      <w:docPartPr>
        <w:name w:val="C749D201986A4536967D907E3FA6E179"/>
        <w:category>
          <w:name w:val="General"/>
          <w:gallery w:val="placeholder"/>
        </w:category>
        <w:types>
          <w:type w:val="bbPlcHdr"/>
        </w:types>
        <w:behaviors>
          <w:behavior w:val="content"/>
        </w:behaviors>
        <w:guid w:val="{FE7F3C2E-3A44-48DB-AC90-336385895CE6}"/>
      </w:docPartPr>
      <w:docPartBody>
        <w:p w:rsidR="002D572A" w:rsidRDefault="00576374" w:rsidP="00576374">
          <w:pPr>
            <w:pStyle w:val="C749D201986A4536967D907E3FA6E179"/>
          </w:pPr>
          <w:r>
            <w:t>Title</w:t>
          </w:r>
        </w:p>
      </w:docPartBody>
    </w:docPart>
    <w:docPart>
      <w:docPartPr>
        <w:name w:val="1841D378419440509573BB47C8357173"/>
        <w:category>
          <w:name w:val="General"/>
          <w:gallery w:val="placeholder"/>
        </w:category>
        <w:types>
          <w:type w:val="bbPlcHdr"/>
        </w:types>
        <w:behaviors>
          <w:behavior w:val="content"/>
        </w:behaviors>
        <w:guid w:val="{9A07328B-C9E8-4338-B52A-7C0219FCEE16}"/>
      </w:docPartPr>
      <w:docPartBody>
        <w:p w:rsidR="002D572A" w:rsidRDefault="00576374" w:rsidP="00576374">
          <w:pPr>
            <w:pStyle w:val="1841D378419440509573BB47C8357173"/>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374"/>
    <w:rsid w:val="002D572A"/>
    <w:rsid w:val="003C56F8"/>
    <w:rsid w:val="00576374"/>
    <w:rsid w:val="00DA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0D76D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D03A71F2D1465C9765FBE3F8A79C0B">
    <w:name w:val="E1D03A71F2D1465C9765FBE3F8A79C0B"/>
    <w:rsid w:val="00576374"/>
  </w:style>
  <w:style w:type="paragraph" w:customStyle="1" w:styleId="F75B6FFC08E04F8182BDC5867C36F6D8">
    <w:name w:val="F75B6FFC08E04F8182BDC5867C36F6D8"/>
    <w:rsid w:val="00576374"/>
  </w:style>
  <w:style w:type="paragraph" w:customStyle="1" w:styleId="B38426A6367D43FD9ADA2D90B56AF2FD">
    <w:name w:val="B38426A6367D43FD9ADA2D90B56AF2FD"/>
    <w:rsid w:val="00576374"/>
  </w:style>
  <w:style w:type="paragraph" w:customStyle="1" w:styleId="C749D201986A4536967D907E3FA6E179">
    <w:name w:val="C749D201986A4536967D907E3FA6E179"/>
    <w:rsid w:val="00576374"/>
  </w:style>
  <w:style w:type="paragraph" w:customStyle="1" w:styleId="1841D378419440509573BB47C8357173">
    <w:name w:val="1841D378419440509573BB47C8357173"/>
    <w:rsid w:val="00576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1bda97-64e7-4000-91fd-dcaad77bf85d" ContentTypeId="0x0101000226E4B75CFA47B488D2CEFE4DCFDD64" PreviousValue="true"/>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85</Value>
      <Value>84</Value>
    </TaxCatchAll>
    <Financial_x0020_Date xmlns="e48e9339-ef40-4192-ab59-a15ba5582753">2020-06-29T23:00:00+00:00</Financial_x0020_Date>
    <TaxKeywordTaxHTField xmlns="e48e9339-ef40-4192-ab59-a15ba5582753">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56685828-7877-4d66-b566-6353a08653b3</TermId>
        </TermInfo>
        <TermInfo xmlns="http://schemas.microsoft.com/office/infopath/2007/PartnerControls">
          <TermName xmlns="http://schemas.microsoft.com/office/infopath/2007/PartnerControls">APHR</TermName>
          <TermId xmlns="http://schemas.microsoft.com/office/infopath/2007/PartnerControls">550722f7-f7c8-435b-a38e-a8c0cef621a8</TermId>
        </TermInfo>
      </Terms>
    </TaxKeywordTaxHTField>
    <HarrowProtectiveMarking xmlns="e48e9339-ef40-4192-ab59-a15ba5582753">OFFICIAL</HarrowProtectiveMarking>
    <HarrowDescription xmlns="e48e9339-ef40-4192-ab59-a15ba55827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nual Report" ma:contentTypeID="0x0101000226E4B75CFA47B488D2CEFE4DCFDD6400887F4394F8EB92469D0C357CC1F85D0B00ECF3663AD96A3D4DB08B2E0295626BB3" ma:contentTypeVersion="12" ma:contentTypeDescription="" ma:contentTypeScope="" ma:versionID="573d611c0b5984e0ca67285e923dfd12">
  <xsd:schema xmlns:xsd="http://www.w3.org/2001/XMLSchema" xmlns:xs="http://www.w3.org/2001/XMLSchema" xmlns:p="http://schemas.microsoft.com/office/2006/metadata/properties" xmlns:ns2="e48e9339-ef40-4192-ab59-a15ba5582753" targetNamespace="http://schemas.microsoft.com/office/2006/metadata/properties" ma:root="true" ma:fieldsID="01e4d78b1bf93f07e300cbda20242ef9"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01945b1-22a8-4001-89cc-6467ea338106}" ma:internalName="TaxCatchAll" ma:showField="CatchAllData" ma:web="c8bd828c-b285-4e7b-a993-11ffe57a310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01945b1-22a8-4001-89cc-6467ea338106}" ma:internalName="TaxCatchAllLabel" ma:readOnly="true" ma:showField="CatchAllDataLabel" ma:web="c8bd828c-b285-4e7b-a993-11ffe57a310c">
      <xsd:complexType>
        <xsd:complexContent>
          <xsd:extension base="dms:MultiChoiceLookup">
            <xsd:sequence>
              <xsd:element name="Value" type="dms:Lookup" maxOccurs="unbounded" minOccurs="0" nillable="true"/>
            </xsd:sequence>
          </xsd:extension>
        </xsd:complexContent>
      </xsd:complexType>
    </xsd:element>
    <xsd:element name="Financial_x0020_Date" ma:index="14" ma:displayName="Financial Date" ma:format="DateOnly" ma:indexed="true" ma:internalName="Financial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7EEC-B9E2-4E47-841E-1771CEF5E2F9}">
  <ds:schemaRefs>
    <ds:schemaRef ds:uri="Microsoft.SharePoint.Taxonomy.ContentTypeSync"/>
  </ds:schemaRefs>
</ds:datastoreItem>
</file>

<file path=customXml/itemProps2.xml><?xml version="1.0" encoding="utf-8"?>
<ds:datastoreItem xmlns:ds="http://schemas.openxmlformats.org/officeDocument/2006/customXml" ds:itemID="{494D86AD-86E4-494B-8796-B501F77BD1F6}">
  <ds:schemaRefs>
    <ds:schemaRef ds:uri="http://schemas.openxmlformats.org/package/2006/metadata/core-properties"/>
    <ds:schemaRef ds:uri="http://schemas.microsoft.com/office/2006/documentManagement/types"/>
    <ds:schemaRef ds:uri="http://purl.org/dc/dcmitype/"/>
    <ds:schemaRef ds:uri="http://www.w3.org/XML/1998/namespace"/>
    <ds:schemaRef ds:uri="e48e9339-ef40-4192-ab59-a15ba5582753"/>
    <ds:schemaRef ds:uri="http://purl.org/dc/terms/"/>
    <ds:schemaRef ds:uri="http://schemas.microsoft.com/office/infopath/2007/PartnerControl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8F0D118A-C022-4EEB-ACC6-9F8D91A8ADE1}">
  <ds:schemaRefs>
    <ds:schemaRef ds:uri="http://schemas.microsoft.com/sharepoint/v3/contenttype/forms"/>
  </ds:schemaRefs>
</ds:datastoreItem>
</file>

<file path=customXml/itemProps4.xml><?xml version="1.0" encoding="utf-8"?>
<ds:datastoreItem xmlns:ds="http://schemas.openxmlformats.org/officeDocument/2006/customXml" ds:itemID="{7020E4EC-3A5F-4012-B141-BBB26CD72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FD7A5C-9CC3-45E0-B059-B273A797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8088</Words>
  <Characters>46102</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Quarterly Public Health Report</vt:lpstr>
    </vt:vector>
  </TitlesOfParts>
  <Company>London Borough of Harrow</Company>
  <LinksUpToDate>false</LinksUpToDate>
  <CharactersWithSpaces>54082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Public Health Report</dc:title>
  <dc:subject>2020-21 Quarter 1</dc:subject>
  <dc:creator>sbahri;Carole.Furlong@harrow.gov.uk;Anna.Kirk@harrow.gov.uk;Andrea.Lagos@harrow.gov.uk;Laurence.Gibson@harrow.gov.uk;Jonathan.Hill-Brown@harrow.gov.uk;Bridget.O'Dwyer@harrow.gov.uk</dc:creator>
  <cp:keywords>APHR ; Covid-19</cp:keywords>
  <cp:lastModifiedBy>Laurence Gibson</cp:lastModifiedBy>
  <cp:revision>2</cp:revision>
  <cp:lastPrinted>2020-06-15T08:46:00Z</cp:lastPrinted>
  <dcterms:created xsi:type="dcterms:W3CDTF">2020-09-15T08:41:00Z</dcterms:created>
  <dcterms:modified xsi:type="dcterms:W3CDTF">2020-09-15T08:41:00Z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0x0101000226E4B75CFA47B488D2CEFE4DCFDD6400887F4394F8EB92469D0C357CC1F85D0B00ECF3663AD96A3D4DB08B2E0295626BB3</vt:lpwstr>
  </property>
  <property fmtid="{D5CDD505-2E9C-101B-9397-08002B2CF9AE}" pid="3" name="TaxKeyword">
    <vt:lpwstr>85;#Covid-19|56685828-7877-4d66-b566-6353a08653b3;#84;#APHR|550722f7-f7c8-435b-a38e-a8c0cef621a8</vt:lpwstr>
  </property>
</Properties>
</file>